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宋体" w:hAnsi="宋体"/>
          <w:b/>
          <w:bCs/>
          <w:sz w:val="44"/>
          <w:szCs w:val="44"/>
        </w:rPr>
      </w:pPr>
      <w:bookmarkStart w:id="0" w:name="_GoBack"/>
      <w:bookmarkEnd w:id="0"/>
      <w:r>
        <w:rPr>
          <w:rFonts w:hint="eastAsia" w:ascii="宋体" w:hAnsi="宋体"/>
          <w:b/>
          <w:bCs/>
          <w:sz w:val="44"/>
          <w:szCs w:val="44"/>
        </w:rPr>
        <w:t>《郑州市加快推进新型智慧城市建设的指导意见》政策解读</w:t>
      </w:r>
    </w:p>
    <w:p>
      <w:pPr>
        <w:pStyle w:val="9"/>
        <w:jc w:val="center"/>
        <w:rPr>
          <w:rFonts w:ascii="宋体" w:hAnsi="宋体"/>
          <w:b/>
          <w:bCs/>
          <w:sz w:val="44"/>
          <w:szCs w:val="44"/>
        </w:rPr>
      </w:pPr>
    </w:p>
    <w:p>
      <w:pPr>
        <w:pStyle w:val="9"/>
        <w:numPr>
          <w:ilvl w:val="0"/>
          <w:numId w:val="1"/>
        </w:numPr>
        <w:autoSpaceDN w:val="0"/>
        <w:spacing w:line="560" w:lineRule="atLeas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制定背景</w:t>
      </w:r>
    </w:p>
    <w:p>
      <w:pPr>
        <w:pStyle w:val="9"/>
        <w:autoSpaceDN w:val="0"/>
        <w:spacing w:line="560" w:lineRule="atLeas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新型智慧城市是建设网络强国、数字中国、智慧社会的重要抓手和核心载体，是全面推动新一代信息技术与城市现代化发展深度融合、迭代演进，引领和驱动城市创新发展的新路径，是形成智慧高效、充满活力、精准治理、安全有序、人与自然和谐相处的城市发展新形态和新模式。2015年，新型智慧城市被首次写入政府工作报告；2016年，国家“十三五”规划纲要明确提出“建设一批新型示范性智慧城市”；2016年10月，习近平总书记在政治局集体学习中强调“以推行电子政务、建设新型智慧城市等为抓手，以数据集中和共享为途径，建设全国一体化的国家大数据中心、推进技术融合、业务融合、数据融合¨¨¨。”进一步对我国新型智慧城市的建设和发展提出了要求。在今年的3月，习近平总书记赴浙江考察时指出，通过大数据、云计算、人工智能等手段推进城市治理现代化，大城市也可以变得更“聪明”。新型智慧城市建设是以习近平同志为核心的党中央立足我国城市发展实际，顺应信息化和城市发展趋势，增强经济发展新动能做出的重大决策部署。</w:t>
      </w:r>
    </w:p>
    <w:p>
      <w:pPr>
        <w:pStyle w:val="9"/>
        <w:autoSpaceDN w:val="0"/>
        <w:spacing w:line="560" w:lineRule="atLeas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省委、省政府高度重视新型智慧城市建设工作，出台了《关于加快推进新型智慧城市建设的指导意见》，以健康有序推进我省新型智慧城市建设，推动数字经济与新型城镇化融合发展，提升城市治理现代化水平。为贯彻习近平总书记关于推动新型智慧城市建设的指示精神，全面落实省委、省政府决策部署，加快推动新型智慧城市建设，根据市政府领导有关批示要求，结合我市实际，形成了《郑州市加快推进新型智慧城市建设的指导意见》（以下简称《指导意见》）。</w:t>
      </w:r>
    </w:p>
    <w:p>
      <w:pPr>
        <w:pStyle w:val="9"/>
        <w:numPr>
          <w:ilvl w:val="0"/>
          <w:numId w:val="1"/>
        </w:numPr>
        <w:autoSpaceDN w:val="0"/>
        <w:spacing w:line="560" w:lineRule="atLeast"/>
        <w:ind w:firstLine="64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制定依据</w:t>
      </w:r>
    </w:p>
    <w:p>
      <w:pPr>
        <w:pStyle w:val="9"/>
        <w:autoSpaceDN w:val="0"/>
        <w:spacing w:line="560" w:lineRule="atLeas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依据《河南省人民政府办公厅关于加快推进新型智慧城市建设的指导意见》（豫郑办【2020】27号）和</w:t>
      </w:r>
      <w:r>
        <w:rPr>
          <w:rFonts w:ascii="仿宋_GB2312" w:hAnsi="仿宋" w:eastAsia="仿宋_GB2312"/>
          <w:color w:val="000000"/>
          <w:sz w:val="32"/>
          <w:szCs w:val="32"/>
          <w:shd w:val="clear" w:color="auto" w:fill="FFFFFF"/>
        </w:rPr>
        <w:t>《</w:t>
      </w:r>
      <w:r>
        <w:rPr>
          <w:rFonts w:hint="eastAsia" w:ascii="仿宋_GB2312" w:hAnsi="仿宋" w:eastAsia="仿宋_GB2312"/>
          <w:color w:val="000000"/>
          <w:sz w:val="32"/>
          <w:szCs w:val="32"/>
          <w:shd w:val="clear" w:color="auto" w:fill="FFFFFF"/>
        </w:rPr>
        <w:t>郑州市人民政府 关于印发</w:t>
      </w:r>
      <w:r>
        <w:rPr>
          <w:rFonts w:ascii="仿宋_GB2312" w:hAnsi="仿宋" w:eastAsia="仿宋_GB2312"/>
          <w:color w:val="000000"/>
          <w:sz w:val="32"/>
          <w:szCs w:val="32"/>
          <w:shd w:val="clear" w:color="auto" w:fill="FFFFFF"/>
        </w:rPr>
        <w:t>郑州市加快数字经济发展实施方案（</w:t>
      </w:r>
      <w:r>
        <w:rPr>
          <w:rFonts w:hint="eastAsia" w:ascii="仿宋_GB2312" w:hAnsi="仿宋" w:eastAsia="仿宋_GB2312"/>
          <w:color w:val="000000"/>
          <w:sz w:val="32"/>
          <w:szCs w:val="32"/>
          <w:shd w:val="clear" w:color="auto" w:fill="FFFFFF"/>
        </w:rPr>
        <w:t>2020—2022年</w:t>
      </w:r>
      <w:r>
        <w:rPr>
          <w:rFonts w:ascii="仿宋_GB2312" w:hAnsi="仿宋" w:eastAsia="仿宋_GB2312"/>
          <w:color w:val="000000"/>
          <w:sz w:val="32"/>
          <w:szCs w:val="32"/>
          <w:shd w:val="clear" w:color="auto" w:fill="FFFFFF"/>
        </w:rPr>
        <w:t>）</w:t>
      </w:r>
      <w:r>
        <w:rPr>
          <w:rFonts w:hint="eastAsia" w:ascii="仿宋_GB2312" w:hAnsi="仿宋" w:eastAsia="仿宋_GB2312"/>
          <w:color w:val="000000"/>
          <w:sz w:val="32"/>
          <w:szCs w:val="32"/>
          <w:shd w:val="clear" w:color="auto" w:fill="FFFFFF"/>
        </w:rPr>
        <w:t>的</w:t>
      </w:r>
      <w:r>
        <w:rPr>
          <w:rFonts w:ascii="仿宋_GB2312" w:hAnsi="仿宋" w:eastAsia="仿宋_GB2312"/>
          <w:color w:val="000000"/>
          <w:sz w:val="32"/>
          <w:szCs w:val="32"/>
          <w:shd w:val="clear" w:color="auto" w:fill="FFFFFF"/>
        </w:rPr>
        <w:t>通知》</w:t>
      </w:r>
      <w:r>
        <w:rPr>
          <w:rFonts w:hint="eastAsia" w:ascii="仿宋_GB2312" w:hAnsi="仿宋" w:eastAsia="仿宋_GB2312"/>
          <w:color w:val="000000"/>
          <w:sz w:val="32"/>
          <w:szCs w:val="32"/>
          <w:shd w:val="clear" w:color="auto" w:fill="FFFFFF"/>
        </w:rPr>
        <w:t>（郑政文【2020】</w:t>
      </w:r>
      <w:r>
        <w:rPr>
          <w:rFonts w:ascii="仿宋_GB2312" w:hAnsi="仿宋" w:eastAsia="仿宋_GB2312"/>
          <w:color w:val="000000"/>
          <w:sz w:val="32"/>
          <w:szCs w:val="32"/>
          <w:shd w:val="clear" w:color="auto" w:fill="FFFFFF"/>
        </w:rPr>
        <w:t>8</w:t>
      </w:r>
      <w:r>
        <w:rPr>
          <w:rFonts w:hint="eastAsia" w:ascii="仿宋_GB2312" w:hAnsi="仿宋" w:eastAsia="仿宋_GB2312"/>
          <w:color w:val="000000"/>
          <w:sz w:val="32"/>
          <w:szCs w:val="32"/>
          <w:shd w:val="clear" w:color="auto" w:fill="FFFFFF"/>
        </w:rPr>
        <w:t>号）</w:t>
      </w:r>
      <w:r>
        <w:rPr>
          <w:rFonts w:hint="eastAsia" w:ascii="仿宋_GB2312" w:hAnsi="仿宋" w:eastAsia="仿宋_GB2312"/>
          <w:sz w:val="32"/>
          <w:szCs w:val="32"/>
          <w:shd w:val="clear" w:color="auto" w:fill="FFFFFF"/>
        </w:rPr>
        <w:t>。</w:t>
      </w:r>
    </w:p>
    <w:p>
      <w:pPr>
        <w:pStyle w:val="4"/>
        <w:widowControl/>
        <w:spacing w:beforeAutospacing="0" w:afterAutospacing="0" w:line="4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三、主要内容</w:t>
      </w:r>
    </w:p>
    <w:p>
      <w:pPr>
        <w:pStyle w:val="9"/>
        <w:autoSpaceDN w:val="0"/>
        <w:spacing w:line="560" w:lineRule="atLeast"/>
        <w:ind w:firstLine="640"/>
        <w:rPr>
          <w:rFonts w:ascii="仿宋_GB2312" w:hAnsi="仿宋" w:eastAsia="仿宋_GB2312"/>
          <w:sz w:val="32"/>
          <w:szCs w:val="32"/>
          <w:shd w:val="clear" w:color="auto" w:fill="FFFFFF"/>
        </w:rPr>
      </w:pPr>
      <w:r>
        <w:rPr>
          <w:rFonts w:ascii="仿宋_GB2312" w:hAnsi="仿宋" w:eastAsia="仿宋_GB2312"/>
          <w:sz w:val="32"/>
          <w:szCs w:val="32"/>
          <w:shd w:val="clear" w:color="auto" w:fill="FFFFFF"/>
        </w:rPr>
        <w:t>《</w:t>
      </w:r>
      <w:r>
        <w:rPr>
          <w:rFonts w:hint="eastAsia" w:ascii="仿宋_GB2312" w:hAnsi="仿宋" w:eastAsia="仿宋_GB2312"/>
          <w:sz w:val="32"/>
          <w:szCs w:val="32"/>
          <w:shd w:val="clear" w:color="auto" w:fill="FFFFFF"/>
        </w:rPr>
        <w:t>指导意见</w:t>
      </w:r>
      <w:r>
        <w:rPr>
          <w:rFonts w:ascii="仿宋_GB2312" w:hAnsi="仿宋" w:eastAsia="仿宋_GB2312"/>
          <w:sz w:val="32"/>
          <w:szCs w:val="32"/>
          <w:shd w:val="clear" w:color="auto" w:fill="FFFFFF"/>
        </w:rPr>
        <w:t>》共分</w:t>
      </w:r>
      <w:r>
        <w:rPr>
          <w:rFonts w:hint="eastAsia" w:ascii="仿宋_GB2312" w:hAnsi="仿宋" w:eastAsia="仿宋_GB2312"/>
          <w:sz w:val="32"/>
          <w:szCs w:val="32"/>
          <w:shd w:val="clear" w:color="auto" w:fill="FFFFFF"/>
        </w:rPr>
        <w:t>总体要求、总体架构、重点任务、保障措施四个部分</w:t>
      </w:r>
      <w:r>
        <w:rPr>
          <w:rFonts w:ascii="仿宋_GB2312" w:hAnsi="仿宋" w:eastAsia="仿宋_GB2312"/>
          <w:sz w:val="32"/>
          <w:szCs w:val="32"/>
          <w:shd w:val="clear" w:color="auto" w:fill="FFFFFF"/>
        </w:rPr>
        <w:t>。</w:t>
      </w:r>
    </w:p>
    <w:p>
      <w:pPr>
        <w:pStyle w:val="9"/>
        <w:autoSpaceDN w:val="0"/>
        <w:spacing w:line="560" w:lineRule="atLeast"/>
        <w:ind w:firstLine="640"/>
        <w:rPr>
          <w:rFonts w:ascii="仿宋_GB2312" w:hAnsi="仿宋" w:eastAsia="仿宋_GB2312"/>
          <w:sz w:val="32"/>
          <w:szCs w:val="32"/>
          <w:shd w:val="clear" w:color="auto" w:fill="FFFFFF"/>
        </w:rPr>
      </w:pPr>
      <w:r>
        <w:rPr>
          <w:rFonts w:ascii="仿宋_GB2312" w:hAnsi="仿宋" w:eastAsia="仿宋_GB2312"/>
          <w:sz w:val="32"/>
          <w:szCs w:val="32"/>
          <w:shd w:val="clear" w:color="auto" w:fill="FFFFFF"/>
        </w:rPr>
        <w:t>第</w:t>
      </w:r>
      <w:r>
        <w:rPr>
          <w:rFonts w:hint="eastAsia" w:ascii="仿宋_GB2312" w:hAnsi="仿宋" w:eastAsia="仿宋_GB2312"/>
          <w:sz w:val="32"/>
          <w:szCs w:val="32"/>
          <w:shd w:val="clear" w:color="auto" w:fill="FFFFFF"/>
        </w:rPr>
        <w:t>一部分</w:t>
      </w:r>
      <w:r>
        <w:rPr>
          <w:rFonts w:ascii="仿宋_GB2312" w:hAnsi="仿宋" w:eastAsia="仿宋_GB2312"/>
          <w:sz w:val="32"/>
          <w:szCs w:val="32"/>
          <w:shd w:val="clear" w:color="auto" w:fill="FFFFFF"/>
        </w:rPr>
        <w:t>：</w:t>
      </w:r>
      <w:r>
        <w:rPr>
          <w:rFonts w:hint="eastAsia" w:ascii="仿宋_GB2312" w:hAnsi="仿宋" w:eastAsia="仿宋_GB2312"/>
          <w:sz w:val="32"/>
          <w:szCs w:val="32"/>
          <w:shd w:val="clear" w:color="auto" w:fill="FFFFFF"/>
        </w:rPr>
        <w:t>总体要求</w:t>
      </w:r>
      <w:r>
        <w:rPr>
          <w:rFonts w:ascii="仿宋_GB2312" w:hAnsi="仿宋" w:eastAsia="仿宋_GB2312"/>
          <w:sz w:val="32"/>
          <w:szCs w:val="32"/>
          <w:shd w:val="clear" w:color="auto" w:fill="FFFFFF"/>
        </w:rPr>
        <w:t>。</w:t>
      </w:r>
    </w:p>
    <w:p>
      <w:pPr>
        <w:pStyle w:val="9"/>
        <w:autoSpaceDN w:val="0"/>
        <w:spacing w:line="560" w:lineRule="atLeast"/>
        <w:ind w:firstLine="64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一）指导思想。深入落实习近平总书记调研指导河南省和郑州市工作时的重要指示精神，把握国家中心城市建设重大战略机遇，以提升城市治理水平、公共服务能力为重点，以体制机制创新为保障，加强政府引导，推动新一代信息技术与城市规划、建设、管理、服务和产业发展全面深度融合，实现城市治理智能化、集约化、人性化，有效提升城市综合承载力、创造力、竞争力和人民群众获得感、幸福感、安全感。</w:t>
      </w:r>
    </w:p>
    <w:p>
      <w:pPr>
        <w:pStyle w:val="9"/>
        <w:autoSpaceDN w:val="0"/>
        <w:spacing w:line="560" w:lineRule="atLeast"/>
        <w:ind w:firstLine="64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(二）基本原则。提出坚持顶层设计、系统布局，政府引导、多元参与，因地制宜、科学有序，融合共享，协同发展四条基本原则。</w:t>
      </w:r>
    </w:p>
    <w:p>
      <w:pPr>
        <w:pStyle w:val="9"/>
        <w:autoSpaceDN w:val="0"/>
        <w:spacing w:line="560" w:lineRule="atLeast"/>
        <w:ind w:firstLine="64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三）主要目标。到2022年，将郑州建成特色鲜明、集聚和辐射带动作用大幅增强、综合竞争优势明显提高、在保障改善民生与创新社会管理等方面成效显著的新型智慧城市，探索出一条符合市情的新型智慧城市发展路径，推动1—2个试点区县（市）进入全国新型智慧城市先进行列。到2025年，各区县（市）智慧化水平整体大幅提升，城市基础设施更加智能，城市管理更加精细,公共服务更加智慧，生态环境更加宜居，产业体系更加优化，发展机制更加完善；县域新型智慧城市建设全面展开，覆盖城乡的智慧社会初步形成。</w:t>
      </w:r>
    </w:p>
    <w:p>
      <w:pPr>
        <w:pStyle w:val="9"/>
        <w:autoSpaceDN w:val="0"/>
        <w:spacing w:line="560" w:lineRule="atLeast"/>
        <w:ind w:firstLine="64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第二部分：总体架构。提出了我市新型智慧城市建设原则上基于</w:t>
      </w:r>
      <w:r>
        <w:rPr>
          <w:rFonts w:ascii="仿宋_GB2312" w:hAnsi="仿宋" w:eastAsia="仿宋_GB2312"/>
          <w:sz w:val="32"/>
          <w:szCs w:val="32"/>
          <w:shd w:val="clear" w:color="auto" w:fill="FFFFFF"/>
        </w:rPr>
        <w:t>“</w:t>
      </w:r>
      <w:r>
        <w:rPr>
          <w:rFonts w:hint="eastAsia" w:ascii="仿宋_GB2312" w:hAnsi="仿宋" w:eastAsia="仿宋_GB2312"/>
          <w:sz w:val="32"/>
          <w:szCs w:val="32"/>
          <w:shd w:val="clear" w:color="auto" w:fill="FFFFFF"/>
        </w:rPr>
        <w:t>一个平台、三大体系、四大应用</w:t>
      </w:r>
      <w:r>
        <w:rPr>
          <w:rFonts w:ascii="仿宋_GB2312" w:hAnsi="仿宋" w:eastAsia="仿宋_GB2312"/>
          <w:sz w:val="32"/>
          <w:szCs w:val="32"/>
          <w:shd w:val="clear" w:color="auto" w:fill="FFFFFF"/>
        </w:rPr>
        <w:t>”</w:t>
      </w:r>
      <w:r>
        <w:rPr>
          <w:rFonts w:hint="eastAsia" w:ascii="仿宋_GB2312" w:hAnsi="仿宋" w:eastAsia="仿宋_GB2312"/>
          <w:sz w:val="32"/>
          <w:szCs w:val="32"/>
          <w:shd w:val="clear" w:color="auto" w:fill="FFFFFF"/>
        </w:rPr>
        <w:t>的一体化架构规划实施。一个平台即城市大脑中枢平台；三大体系即构建新一代信息基础设施体系，构建标准规范体系，</w:t>
      </w:r>
      <w:r>
        <w:rPr>
          <w:rFonts w:ascii="仿宋_GB2312" w:hAnsi="仿宋" w:eastAsia="仿宋_GB2312"/>
          <w:sz w:val="32"/>
          <w:szCs w:val="32"/>
          <w:shd w:val="clear" w:color="auto" w:fill="FFFFFF"/>
        </w:rPr>
        <w:t>构建</w:t>
      </w:r>
      <w:r>
        <w:rPr>
          <w:rFonts w:hint="eastAsia" w:ascii="仿宋_GB2312" w:hAnsi="仿宋" w:eastAsia="仿宋_GB2312"/>
          <w:sz w:val="32"/>
          <w:szCs w:val="32"/>
          <w:shd w:val="clear" w:color="auto" w:fill="FFFFFF"/>
        </w:rPr>
        <w:t>网络安全体系；四大应用即城市治理</w:t>
      </w:r>
      <w:r>
        <w:rPr>
          <w:rFonts w:ascii="仿宋_GB2312" w:hAnsi="仿宋" w:eastAsia="仿宋_GB2312"/>
          <w:sz w:val="32"/>
          <w:szCs w:val="32"/>
          <w:shd w:val="clear" w:color="auto" w:fill="FFFFFF"/>
        </w:rPr>
        <w:t>、民生服务、</w:t>
      </w:r>
      <w:r>
        <w:rPr>
          <w:rFonts w:hint="eastAsia" w:ascii="仿宋_GB2312" w:hAnsi="仿宋" w:eastAsia="仿宋_GB2312"/>
          <w:sz w:val="32"/>
          <w:szCs w:val="32"/>
          <w:shd w:val="clear" w:color="auto" w:fill="FFFFFF"/>
        </w:rPr>
        <w:t>生态宜居、产业发展4类智能化创新应用。</w:t>
      </w:r>
    </w:p>
    <w:p>
      <w:pPr>
        <w:pStyle w:val="9"/>
        <w:ind w:firstLine="640" w:firstLineChars="200"/>
        <w:rPr>
          <w:rFonts w:ascii="仿宋_GB2312" w:hAnsi="仿宋" w:eastAsia="仿宋_GB2312"/>
          <w:sz w:val="32"/>
          <w:szCs w:val="32"/>
          <w:shd w:val="clear" w:color="auto" w:fill="FFFFFF"/>
        </w:rPr>
      </w:pPr>
      <w:r>
        <w:rPr>
          <w:rFonts w:hint="eastAsia" w:ascii="仿宋_GB2312" w:eastAsia="仿宋_GB2312"/>
          <w:sz w:val="32"/>
          <w:szCs w:val="32"/>
        </w:rPr>
        <w:t>第三部分：重点</w:t>
      </w:r>
      <w:r>
        <w:rPr>
          <w:rFonts w:hint="eastAsia" w:ascii="仿宋_GB2312" w:hAnsi="仿宋" w:eastAsia="仿宋_GB2312"/>
          <w:sz w:val="32"/>
          <w:szCs w:val="32"/>
          <w:shd w:val="clear" w:color="auto" w:fill="FFFFFF"/>
        </w:rPr>
        <w:t>任务。主要包括：一是推进基础设施集约化。加快推进5G(第五代移动通信技术）网络建设，推进“全光网”城市全面升级，统筹物联感知体系建设，夯实新型智慧城市中枢平台。二是推进城市治理精细化。发展智慧交通，建设全面覆盖、泛在互</w:t>
      </w:r>
      <w:r>
        <w:rPr>
          <w:rFonts w:hint="eastAsia" w:ascii="仿宋_GB2312" w:hAnsi="仿宋_GB2312" w:eastAsia="仿宋_GB2312" w:cs="仿宋_GB2312"/>
          <w:sz w:val="32"/>
          <w:szCs w:val="32"/>
          <w:shd w:val="clear" w:color="auto" w:fill="FFFFFF"/>
        </w:rPr>
        <w:t>联的交通基础设</w:t>
      </w:r>
      <w:r>
        <w:rPr>
          <w:rFonts w:hint="eastAsia" w:ascii="仿宋_GB2312" w:hAnsi="仿宋" w:eastAsia="仿宋_GB2312"/>
          <w:sz w:val="32"/>
          <w:szCs w:val="32"/>
          <w:shd w:val="clear" w:color="auto" w:fill="FFFFFF"/>
        </w:rPr>
        <w:t>施体系、运载装备运行状态感知体系；发展智慧城管，推动跨部门数据汇集和联通，建立“用数据说话、用数据决策、用数据管理、用数据创新”的城市管理新方式；完善应急指挥系统建设，推进全市应急管理资源进一步整合优化，实现统一规划、统一建设、统一调度、统一使用；推进智慧政务建设，建立前台统一受理、后台分类审批的“一门集中、一窗受理、一网通办”政务服务模式。三是推进民生服务便利化。发展智慧医疗，实现医疗健康与互联网深度融合；发展智慧教育，推进智慧校园、平安校园建设，打造数字化、网络化、智能化的教育服务模式；发展智慧金融，推动互联网企业与银行、保险等金融机构开展跨界融合,发展无人银行、5G+智能银行、智慧支付等新模式新业态；发展智慧文旅，利用</w:t>
      </w:r>
      <w:r>
        <w:rPr>
          <w:rFonts w:ascii="仿宋_GB2312" w:hAnsi="仿宋" w:eastAsia="仿宋_GB2312"/>
          <w:sz w:val="32"/>
          <w:szCs w:val="32"/>
          <w:shd w:val="clear" w:color="auto" w:fill="FFFFFF"/>
        </w:rPr>
        <w:t>大数据、人工智能、虚拟现实等技术</w:t>
      </w:r>
      <w:r>
        <w:rPr>
          <w:rFonts w:hint="eastAsia" w:ascii="仿宋_GB2312" w:hAnsi="仿宋" w:eastAsia="仿宋_GB2312"/>
          <w:sz w:val="32"/>
          <w:szCs w:val="32"/>
          <w:shd w:val="clear" w:color="auto" w:fill="FFFFFF"/>
        </w:rPr>
        <w:t>，促进基于黄河流域文化旅游资源与场景科技深度融合。四是推进生态宜居可持续化。推进自然资源智慧化建设，构建以数字化、网络化和智能化为支撑的国土空间规划体系；实施智慧生态精准管控，推进生态环境管理和治理模式创新，实现协同治理，提升工作效能；打造一体化智慧社区，构建覆盖政务服务、社会治理、居民服务等领域立体化、智能化社区感知网络系统。五是推进产业发展数字化。加快发展智能制造，促进生产制造流程数字化、网络化、智能化转型，</w:t>
      </w:r>
      <w:r>
        <w:rPr>
          <w:rFonts w:ascii="仿宋_GB2312" w:hAnsi="仿宋" w:eastAsia="仿宋_GB2312"/>
          <w:sz w:val="32"/>
          <w:szCs w:val="32"/>
          <w:shd w:val="clear" w:color="auto" w:fill="FFFFFF"/>
        </w:rPr>
        <w:t>实现智能制造由点状突破向整体提升转变</w:t>
      </w:r>
      <w:r>
        <w:rPr>
          <w:rFonts w:hint="eastAsia" w:ascii="仿宋_GB2312" w:hAnsi="仿宋" w:eastAsia="仿宋_GB2312"/>
          <w:sz w:val="32"/>
          <w:szCs w:val="32"/>
          <w:shd w:val="clear" w:color="auto" w:fill="FFFFFF"/>
        </w:rPr>
        <w:t>；推进智慧园区建设，打造“空间在线化、运营数据化、服务智能化、产业协同化”的新一代智慧园区；推进智慧物流建设，开展无人机、无人车、社区智能快递柜等智能化物流作业，实现仓储、装卸搬运、运输、配送、回收等全过程信息自动获取和主动感知。</w:t>
      </w:r>
    </w:p>
    <w:p>
      <w:pPr>
        <w:pStyle w:val="9"/>
        <w:ind w:firstLine="640" w:firstLineChars="200"/>
      </w:pPr>
      <w:r>
        <w:rPr>
          <w:rFonts w:hint="eastAsia" w:ascii="仿宋_GB2312" w:hAnsi="仿宋" w:eastAsia="仿宋_GB2312"/>
          <w:sz w:val="32"/>
          <w:szCs w:val="32"/>
          <w:shd w:val="clear" w:color="auto" w:fill="FFFFFF"/>
        </w:rPr>
        <w:t>第四部分：保障</w:t>
      </w:r>
      <w:r>
        <w:rPr>
          <w:rFonts w:hint="eastAsia" w:ascii="仿宋_GB2312" w:eastAsia="仿宋_GB2312"/>
          <w:sz w:val="32"/>
          <w:szCs w:val="32"/>
        </w:rPr>
        <w:t>措施。主要包括加强组织领导、完善政策标准、强化要素保障、加强人才队伍建设和加强信息安全管理等5个方面。</w:t>
      </w:r>
    </w:p>
    <w:p>
      <w:pPr>
        <w:pStyle w:val="4"/>
        <w:widowControl/>
        <w:spacing w:beforeAutospacing="0" w:afterAutospacing="0" w:line="4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四、解读机关及解读人</w:t>
      </w:r>
    </w:p>
    <w:p>
      <w:pPr>
        <w:pStyle w:val="4"/>
        <w:widowControl/>
        <w:spacing w:beforeAutospacing="0" w:afterAutospacing="0" w:line="420" w:lineRule="atLeas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解读机关：郑州市发展和改革委员会</w:t>
      </w:r>
    </w:p>
    <w:p>
      <w:pPr>
        <w:pStyle w:val="4"/>
        <w:widowControl/>
        <w:spacing w:beforeAutospacing="0" w:afterAutospacing="0" w:line="420" w:lineRule="atLeas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解 读 人：张伟  </w:t>
      </w:r>
    </w:p>
    <w:p>
      <w:pPr>
        <w:pStyle w:val="4"/>
        <w:widowControl/>
        <w:spacing w:beforeAutospacing="0" w:afterAutospacing="0" w:line="420" w:lineRule="atLeas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 67185955</w:t>
      </w:r>
    </w:p>
    <w:p>
      <w:pPr>
        <w:pStyle w:val="9"/>
        <w:jc w:val="left"/>
        <w:rPr>
          <w:rFonts w:ascii="仿宋_GB2312" w:hAnsi="仿宋_GB2312" w:eastAsia="仿宋_GB2312" w:cs="仿宋_GB2312"/>
          <w:sz w:val="32"/>
          <w:szCs w:val="32"/>
        </w:rPr>
      </w:pPr>
    </w:p>
    <w:p>
      <w:pPr>
        <w:pStyle w:val="9"/>
        <w:jc w:val="left"/>
        <w:rPr>
          <w:rFonts w:ascii="仿宋_GB2312" w:hAnsi="仿宋_GB2312" w:eastAsia="仿宋_GB2312" w:cs="仿宋_GB2312"/>
          <w:b/>
          <w:bCs/>
          <w:sz w:val="32"/>
          <w:szCs w:val="32"/>
        </w:rPr>
      </w:pPr>
    </w:p>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p-common">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0E32"/>
    <w:multiLevelType w:val="singleLevel"/>
    <w:tmpl w:val="10640E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41B90"/>
    <w:rsid w:val="0003784B"/>
    <w:rsid w:val="000B3795"/>
    <w:rsid w:val="003E344B"/>
    <w:rsid w:val="004215C4"/>
    <w:rsid w:val="00504DDD"/>
    <w:rsid w:val="00545FC6"/>
    <w:rsid w:val="006B5E6D"/>
    <w:rsid w:val="00712CC9"/>
    <w:rsid w:val="009307FB"/>
    <w:rsid w:val="00BB6E68"/>
    <w:rsid w:val="00CA4CD6"/>
    <w:rsid w:val="00D3441A"/>
    <w:rsid w:val="00D906C3"/>
    <w:rsid w:val="00F928AD"/>
    <w:rsid w:val="099F45FD"/>
    <w:rsid w:val="24BF1550"/>
    <w:rsid w:val="273333AB"/>
    <w:rsid w:val="3DAC1AC6"/>
    <w:rsid w:val="3F941B90"/>
    <w:rsid w:val="44BB6EBA"/>
    <w:rsid w:val="63115AB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none"/>
    </w:rPr>
  </w:style>
  <w:style w:type="paragraph" w:customStyle="1" w:styleId="9">
    <w:name w:val="p0"/>
    <w:basedOn w:val="1"/>
    <w:qFormat/>
    <w:uiPriority w:val="0"/>
    <w:pPr>
      <w:widowControl/>
    </w:pPr>
    <w:rPr>
      <w:rFonts w:cs="宋体"/>
      <w:kern w:val="0"/>
      <w:szCs w:val="21"/>
    </w:rPr>
  </w:style>
  <w:style w:type="character" w:customStyle="1" w:styleId="10">
    <w:name w:val="first-child1"/>
    <w:basedOn w:val="6"/>
    <w:qFormat/>
    <w:uiPriority w:val="0"/>
  </w:style>
  <w:style w:type="character" w:customStyle="1" w:styleId="11">
    <w:name w:val="after"/>
    <w:basedOn w:val="6"/>
    <w:qFormat/>
    <w:uiPriority w:val="0"/>
  </w:style>
  <w:style w:type="character" w:customStyle="1" w:styleId="12">
    <w:name w:val="before2"/>
    <w:basedOn w:val="6"/>
    <w:qFormat/>
    <w:uiPriority w:val="0"/>
    <w:rPr>
      <w:rFonts w:hint="default" w:ascii="pip-common" w:hAnsi="pip-common" w:eastAsia="pip-common" w:cs="pip-common"/>
    </w:rPr>
  </w:style>
  <w:style w:type="character" w:customStyle="1" w:styleId="13">
    <w:name w:val="hover6"/>
    <w:basedOn w:val="6"/>
    <w:qFormat/>
    <w:uiPriority w:val="0"/>
    <w:rPr>
      <w:shd w:val="clear" w:color="auto" w:fill="F3F3F3"/>
    </w:rPr>
  </w:style>
  <w:style w:type="character" w:customStyle="1" w:styleId="14">
    <w:name w:val="hover7"/>
    <w:basedOn w:val="6"/>
    <w:qFormat/>
    <w:uiPriority w:val="0"/>
    <w:rPr>
      <w:sz w:val="21"/>
      <w:szCs w:val="21"/>
    </w:rPr>
  </w:style>
  <w:style w:type="character" w:customStyle="1" w:styleId="15">
    <w:name w:val="hover8"/>
    <w:basedOn w:val="6"/>
    <w:qFormat/>
    <w:uiPriority w:val="0"/>
    <w:rPr>
      <w:shd w:val="clear" w:color="auto" w:fill="F3F3F3"/>
    </w:rPr>
  </w:style>
  <w:style w:type="character" w:customStyle="1" w:styleId="16">
    <w:name w:val="before"/>
    <w:basedOn w:val="6"/>
    <w:qFormat/>
    <w:uiPriority w:val="0"/>
    <w:rPr>
      <w:rFonts w:hint="default" w:ascii="pip-common" w:hAnsi="pip-common" w:eastAsia="pip-common" w:cs="pip-common"/>
    </w:rPr>
  </w:style>
  <w:style w:type="character" w:customStyle="1" w:styleId="17">
    <w:name w:val="after2"/>
    <w:basedOn w:val="6"/>
    <w:qFormat/>
    <w:uiPriority w:val="0"/>
  </w:style>
  <w:style w:type="paragraph" w:customStyle="1" w:styleId="18">
    <w:name w:val="p16"/>
    <w:basedOn w:val="1"/>
    <w:qFormat/>
    <w:uiPriority w:val="0"/>
    <w:pPr>
      <w:widowControl/>
      <w:spacing w:before="100" w:after="100"/>
      <w:jc w:val="left"/>
    </w:pPr>
    <w:rPr>
      <w:rFonts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354</Words>
  <Characters>2022</Characters>
  <Lines>16</Lines>
  <Paragraphs>4</Paragraphs>
  <TotalTime>30</TotalTime>
  <ScaleCrop>false</ScaleCrop>
  <LinksUpToDate>false</LinksUpToDate>
  <CharactersWithSpaces>2372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2020-10-10T07:32:00Z</dcterms:created>
  <dc:creator>Administrator</dc:creator>
  <cp:lastModifiedBy>雪一刀</cp:lastModifiedBy>
  <dcterms:modified xsi:type="dcterms:W3CDTF">2020-12-09T09:26:07Z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