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color w:val="auto"/>
          <w:szCs w:val="32"/>
        </w:rPr>
      </w:pPr>
      <w:bookmarkStart w:id="0" w:name="_Toc20917"/>
      <w:bookmarkStart w:id="1" w:name="_Toc20623"/>
      <w:r>
        <w:rPr>
          <w:rFonts w:hint="eastAsia"/>
          <w:b/>
          <w:bCs/>
          <w:color w:val="auto"/>
          <w:szCs w:val="32"/>
        </w:rPr>
        <w:t xml:space="preserve">  </w:t>
      </w:r>
    </w:p>
    <w:p>
      <w:pPr>
        <w:jc w:val="center"/>
        <w:rPr>
          <w:b/>
          <w:bCs/>
          <w:color w:val="auto"/>
          <w:szCs w:val="32"/>
        </w:rPr>
      </w:pPr>
    </w:p>
    <w:p>
      <w:pPr>
        <w:jc w:val="center"/>
        <w:rPr>
          <w:b/>
          <w:bCs/>
          <w:color w:val="auto"/>
          <w:szCs w:val="32"/>
        </w:rPr>
      </w:pPr>
    </w:p>
    <w:p>
      <w:pPr>
        <w:ind w:firstLine="0" w:firstLineChars="0"/>
        <w:jc w:val="center"/>
        <w:rPr>
          <w:rFonts w:ascii="宋体" w:hAnsi="宋体" w:eastAsia="宋体" w:cs="宋体"/>
          <w:b/>
          <w:color w:val="auto"/>
          <w:sz w:val="48"/>
          <w:szCs w:val="48"/>
        </w:rPr>
      </w:pPr>
      <w:r>
        <w:rPr>
          <w:rFonts w:hint="eastAsia" w:ascii="宋体" w:hAnsi="宋体" w:eastAsia="宋体" w:cs="宋体"/>
          <w:b/>
          <w:color w:val="auto"/>
          <w:sz w:val="48"/>
          <w:szCs w:val="48"/>
        </w:rPr>
        <w:t>郑州市“十四五”新一代信息技术产业</w:t>
      </w:r>
    </w:p>
    <w:p>
      <w:pPr>
        <w:ind w:firstLine="0" w:firstLineChars="0"/>
        <w:jc w:val="center"/>
        <w:rPr>
          <w:rFonts w:hint="eastAsia" w:ascii="宋体" w:hAnsi="宋体" w:eastAsia="宋体" w:cs="宋体"/>
          <w:b/>
          <w:color w:val="auto"/>
          <w:sz w:val="48"/>
          <w:szCs w:val="48"/>
        </w:rPr>
      </w:pPr>
      <w:r>
        <w:rPr>
          <w:rFonts w:hint="eastAsia" w:ascii="宋体" w:hAnsi="宋体" w:eastAsia="宋体" w:cs="宋体"/>
          <w:b/>
          <w:color w:val="auto"/>
          <w:sz w:val="48"/>
          <w:szCs w:val="48"/>
        </w:rPr>
        <w:t>发展规划（2021-2025</w:t>
      </w:r>
      <w:r>
        <w:rPr>
          <w:rFonts w:hint="eastAsia" w:ascii="宋体" w:hAnsi="宋体" w:eastAsia="宋体" w:cs="宋体"/>
          <w:b/>
          <w:color w:val="auto"/>
          <w:sz w:val="48"/>
          <w:szCs w:val="48"/>
          <w:lang w:val="en-US" w:eastAsia="zh-CN"/>
        </w:rPr>
        <w:t>年</w:t>
      </w:r>
      <w:r>
        <w:rPr>
          <w:rFonts w:hint="eastAsia" w:ascii="宋体" w:hAnsi="宋体" w:eastAsia="宋体" w:cs="宋体"/>
          <w:b/>
          <w:color w:val="auto"/>
          <w:sz w:val="48"/>
          <w:szCs w:val="48"/>
        </w:rPr>
        <w:t>）</w:t>
      </w:r>
    </w:p>
    <w:p>
      <w:pPr>
        <w:spacing w:beforeLines="100"/>
        <w:ind w:left="-525" w:leftChars="-164" w:right="-525" w:rightChars="-164" w:firstLine="0" w:firstLineChars="0"/>
        <w:jc w:val="center"/>
        <w:rPr>
          <w:rFonts w:hint="eastAsia" w:asciiTheme="majorEastAsia" w:hAnsiTheme="majorEastAsia" w:eastAsiaTheme="majorEastAsia" w:cstheme="majorEastAsia"/>
          <w:b w:val="0"/>
          <w:bCs w:val="0"/>
          <w:color w:val="auto"/>
          <w:sz w:val="44"/>
          <w:szCs w:val="44"/>
          <w:lang w:eastAsia="zh-CN"/>
        </w:rPr>
      </w:pPr>
      <w:r>
        <w:rPr>
          <w:rFonts w:hint="eastAsia" w:asciiTheme="majorEastAsia" w:hAnsiTheme="majorEastAsia" w:eastAsiaTheme="majorEastAsia" w:cstheme="majorEastAsia"/>
          <w:b w:val="0"/>
          <w:bCs w:val="0"/>
          <w:color w:val="auto"/>
          <w:sz w:val="44"/>
          <w:szCs w:val="44"/>
          <w:lang w:eastAsia="zh-CN"/>
        </w:rPr>
        <w:t>（</w:t>
      </w:r>
      <w:r>
        <w:rPr>
          <w:rFonts w:hint="eastAsia" w:asciiTheme="majorEastAsia" w:hAnsiTheme="majorEastAsia" w:eastAsiaTheme="majorEastAsia" w:cstheme="majorEastAsia"/>
          <w:b w:val="0"/>
          <w:bCs w:val="0"/>
          <w:color w:val="auto"/>
          <w:sz w:val="44"/>
          <w:szCs w:val="44"/>
          <w:lang w:val="en-US" w:eastAsia="zh-CN"/>
        </w:rPr>
        <w:t>征求意见稿</w:t>
      </w:r>
      <w:r>
        <w:rPr>
          <w:rFonts w:hint="eastAsia" w:asciiTheme="majorEastAsia" w:hAnsiTheme="majorEastAsia" w:eastAsiaTheme="majorEastAsia" w:cstheme="majorEastAsia"/>
          <w:b w:val="0"/>
          <w:bCs w:val="0"/>
          <w:color w:val="auto"/>
          <w:sz w:val="44"/>
          <w:szCs w:val="44"/>
          <w:lang w:eastAsia="zh-CN"/>
        </w:rPr>
        <w:t>）</w:t>
      </w:r>
    </w:p>
    <w:p>
      <w:pPr>
        <w:pStyle w:val="2"/>
        <w:ind w:left="0" w:leftChars="0" w:firstLine="0" w:firstLineChars="0"/>
      </w:pPr>
    </w:p>
    <w:bookmarkEnd w:id="0"/>
    <w:bookmarkEnd w:id="1"/>
    <w:p>
      <w:pPr>
        <w:ind w:firstLine="883"/>
        <w:jc w:val="center"/>
        <w:rPr>
          <w:rFonts w:ascii="宋体" w:hAnsi="宋体" w:eastAsia="宋体" w:cs="宋体"/>
          <w:b/>
          <w:color w:val="auto"/>
          <w:sz w:val="44"/>
          <w:szCs w:val="44"/>
        </w:rPr>
      </w:pPr>
    </w:p>
    <w:p>
      <w:pPr>
        <w:ind w:firstLine="0" w:firstLineChars="0"/>
        <w:jc w:val="center"/>
        <w:rPr>
          <w:rFonts w:ascii="宋体" w:hAnsi="宋体" w:eastAsia="宋体" w:cs="宋体"/>
          <w:b/>
          <w:color w:val="auto"/>
          <w:sz w:val="44"/>
          <w:szCs w:val="44"/>
        </w:rPr>
      </w:pPr>
    </w:p>
    <w:p>
      <w:pPr>
        <w:pStyle w:val="29"/>
        <w:rPr>
          <w:color w:val="auto"/>
        </w:rPr>
      </w:pPr>
    </w:p>
    <w:p>
      <w:pPr>
        <w:pStyle w:val="29"/>
        <w:rPr>
          <w:color w:val="auto"/>
        </w:rPr>
      </w:pPr>
    </w:p>
    <w:p>
      <w:pPr>
        <w:pStyle w:val="29"/>
        <w:rPr>
          <w:color w:val="auto"/>
        </w:rPr>
      </w:pPr>
    </w:p>
    <w:p>
      <w:pPr>
        <w:pStyle w:val="29"/>
        <w:rPr>
          <w:color w:val="auto"/>
        </w:rPr>
      </w:pPr>
    </w:p>
    <w:p>
      <w:pPr>
        <w:pStyle w:val="29"/>
        <w:rPr>
          <w:color w:val="auto"/>
        </w:rPr>
      </w:pPr>
    </w:p>
    <w:p>
      <w:pPr>
        <w:pStyle w:val="29"/>
        <w:rPr>
          <w:color w:val="auto"/>
        </w:rPr>
      </w:pPr>
    </w:p>
    <w:p>
      <w:pPr>
        <w:pStyle w:val="29"/>
        <w:rPr>
          <w:color w:val="auto"/>
        </w:rPr>
      </w:pPr>
    </w:p>
    <w:p>
      <w:pPr>
        <w:pStyle w:val="29"/>
        <w:rPr>
          <w:color w:val="auto"/>
        </w:rPr>
      </w:pPr>
    </w:p>
    <w:p>
      <w:pPr>
        <w:pStyle w:val="29"/>
        <w:rPr>
          <w:color w:val="auto"/>
        </w:rPr>
      </w:pPr>
    </w:p>
    <w:p>
      <w:pPr>
        <w:pStyle w:val="29"/>
        <w:rPr>
          <w:color w:val="auto"/>
        </w:rPr>
      </w:pPr>
    </w:p>
    <w:p>
      <w:pPr>
        <w:pStyle w:val="29"/>
        <w:rPr>
          <w:color w:val="auto"/>
        </w:rPr>
      </w:pPr>
    </w:p>
    <w:p>
      <w:pPr>
        <w:pStyle w:val="29"/>
        <w:rPr>
          <w:color w:val="auto"/>
        </w:rPr>
      </w:pPr>
    </w:p>
    <w:p>
      <w:pPr>
        <w:pStyle w:val="29"/>
        <w:rPr>
          <w:color w:val="auto"/>
        </w:rPr>
      </w:pPr>
    </w:p>
    <w:p>
      <w:pPr>
        <w:pStyle w:val="29"/>
        <w:rPr>
          <w:color w:val="auto"/>
        </w:rPr>
      </w:pPr>
    </w:p>
    <w:p>
      <w:pPr>
        <w:pStyle w:val="29"/>
        <w:rPr>
          <w:color w:val="auto"/>
        </w:rPr>
      </w:pPr>
    </w:p>
    <w:p>
      <w:pPr>
        <w:pStyle w:val="29"/>
        <w:rPr>
          <w:color w:val="auto"/>
        </w:rPr>
      </w:pPr>
    </w:p>
    <w:p>
      <w:pPr>
        <w:ind w:firstLine="0" w:firstLineChars="0"/>
        <w:jc w:val="center"/>
        <w:rPr>
          <w:rFonts w:hint="eastAsia" w:ascii="楷体" w:hAnsi="楷体" w:eastAsia="楷体" w:cs="楷体"/>
          <w:b/>
          <w:bCs/>
          <w:color w:val="auto"/>
          <w:sz w:val="32"/>
          <w:szCs w:val="32"/>
        </w:rPr>
      </w:pPr>
      <w:r>
        <w:rPr>
          <w:rFonts w:hint="eastAsia" w:ascii="楷体" w:hAnsi="楷体" w:eastAsia="楷体" w:cs="楷体"/>
          <w:b/>
          <w:bCs/>
          <w:color w:val="auto"/>
          <w:sz w:val="32"/>
          <w:szCs w:val="32"/>
        </w:rPr>
        <w:t>郑州市发展和改革委员会</w:t>
      </w:r>
    </w:p>
    <w:p>
      <w:pPr>
        <w:pStyle w:val="17"/>
        <w:tabs>
          <w:tab w:val="right" w:leader="dot" w:pos="8306"/>
        </w:tabs>
        <w:ind w:firstLine="0" w:firstLineChars="0"/>
        <w:jc w:val="center"/>
        <w:rPr>
          <w:rFonts w:ascii="宋体" w:hAnsi="宋体" w:eastAsia="宋体" w:cs="宋体"/>
          <w:b/>
          <w:bCs/>
          <w:color w:val="auto"/>
          <w:sz w:val="40"/>
          <w:szCs w:val="32"/>
        </w:rPr>
      </w:pPr>
      <w:r>
        <w:rPr>
          <w:rFonts w:hint="eastAsia" w:ascii="楷体" w:hAnsi="楷体" w:eastAsia="楷体" w:cs="楷体"/>
          <w:b/>
          <w:bCs/>
          <w:color w:val="auto"/>
          <w:sz w:val="32"/>
          <w:szCs w:val="32"/>
        </w:rPr>
        <w:t>二〇二一年</w:t>
      </w:r>
      <w:r>
        <w:rPr>
          <w:rFonts w:hint="eastAsia" w:ascii="楷体" w:hAnsi="楷体" w:eastAsia="楷体" w:cs="楷体"/>
          <w:b/>
          <w:bCs/>
          <w:color w:val="auto"/>
          <w:sz w:val="32"/>
          <w:szCs w:val="32"/>
          <w:lang w:val="en-US" w:eastAsia="zh-CN"/>
        </w:rPr>
        <w:t>十一</w:t>
      </w:r>
      <w:r>
        <w:rPr>
          <w:rFonts w:hint="eastAsia" w:ascii="楷体" w:hAnsi="楷体" w:eastAsia="楷体" w:cs="楷体"/>
          <w:b/>
          <w:bCs/>
          <w:color w:val="auto"/>
          <w:sz w:val="32"/>
          <w:szCs w:val="32"/>
        </w:rPr>
        <w:t>月</w:t>
      </w:r>
    </w:p>
    <w:p>
      <w:pPr>
        <w:pStyle w:val="17"/>
        <w:tabs>
          <w:tab w:val="right" w:leader="dot" w:pos="8306"/>
        </w:tabs>
        <w:ind w:firstLine="0" w:firstLineChars="0"/>
        <w:jc w:val="center"/>
        <w:rPr>
          <w:rFonts w:ascii="宋体" w:hAnsi="宋体" w:eastAsia="宋体" w:cs="宋体"/>
          <w:b/>
          <w:bCs/>
          <w:color w:val="auto"/>
          <w:sz w:val="40"/>
          <w:szCs w:val="32"/>
        </w:rPr>
      </w:pPr>
    </w:p>
    <w:p>
      <w:pPr>
        <w:pStyle w:val="17"/>
        <w:tabs>
          <w:tab w:val="right" w:leader="dot" w:pos="8306"/>
        </w:tabs>
        <w:spacing w:line="460" w:lineRule="exact"/>
        <w:ind w:firstLine="0" w:firstLineChars="0"/>
        <w:jc w:val="center"/>
        <w:rPr>
          <w:rFonts w:ascii="宋体" w:hAnsi="宋体" w:eastAsia="宋体" w:cs="宋体"/>
          <w:b/>
          <w:bCs/>
          <w:color w:val="auto"/>
          <w:sz w:val="28"/>
          <w:szCs w:val="28"/>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Borders>
            <w:top w:val="none" w:sz="0" w:space="0"/>
            <w:left w:val="none" w:sz="0" w:space="0"/>
            <w:bottom w:val="none" w:sz="0" w:space="0"/>
            <w:right w:val="none" w:sz="0" w:space="0"/>
          </w:pgBorders>
          <w:pgNumType w:start="0"/>
          <w:cols w:space="0" w:num="1"/>
          <w:titlePg/>
          <w:rtlGutter w:val="0"/>
          <w:docGrid w:type="lines" w:linePitch="312" w:charSpace="0"/>
        </w:sectPr>
      </w:pPr>
    </w:p>
    <w:sdt>
      <w:sdtPr>
        <w:rPr>
          <w:rFonts w:hint="eastAsia" w:ascii="黑体" w:hAnsi="黑体" w:eastAsia="黑体" w:cs="黑体"/>
          <w:color w:val="auto"/>
          <w:sz w:val="28"/>
          <w:szCs w:val="28"/>
        </w:rPr>
        <w:id w:val="147454192"/>
        <w:docPartObj>
          <w:docPartGallery w:val="Table of Contents"/>
          <w:docPartUnique/>
        </w:docPartObj>
      </w:sdtPr>
      <w:sdtEndPr>
        <w:rPr>
          <w:rFonts w:hint="eastAsia" w:ascii="仿宋" w:hAnsi="仿宋" w:eastAsia="仿宋" w:cs="仿宋"/>
          <w:color w:val="auto"/>
          <w:sz w:val="28"/>
          <w:szCs w:val="28"/>
        </w:rPr>
      </w:sdtEndPr>
      <w:sdtContent>
        <w:p>
          <w:pPr>
            <w:spacing w:line="240" w:lineRule="auto"/>
            <w:ind w:firstLine="0" w:firstLineChars="0"/>
            <w:jc w:val="center"/>
            <w:rPr>
              <w:rFonts w:ascii="黑体" w:hAnsi="黑体" w:eastAsia="黑体" w:cs="黑体"/>
              <w:color w:val="auto"/>
              <w:szCs w:val="32"/>
            </w:rPr>
          </w:pPr>
          <w:r>
            <w:rPr>
              <w:rFonts w:hint="eastAsia" w:ascii="宋体" w:hAnsi="宋体" w:eastAsia="宋体" w:cs="宋体"/>
              <w:b/>
              <w:bCs/>
              <w:color w:val="auto"/>
              <w:sz w:val="44"/>
              <w:szCs w:val="44"/>
            </w:rPr>
            <w:t>目 录</w:t>
          </w:r>
        </w:p>
        <w:p>
          <w:pPr>
            <w:pStyle w:val="17"/>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eastAsia" w:ascii="黑体" w:hAnsi="黑体" w:eastAsia="黑体" w:cs="黑体"/>
              <w:sz w:val="28"/>
              <w:szCs w:val="28"/>
            </w:rPr>
          </w:pP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color w:val="auto"/>
              <w:sz w:val="28"/>
              <w:szCs w:val="28"/>
            </w:rPr>
            <w:instrText xml:space="preserve">TOC \o "1-3" \h \u </w:instrText>
          </w:r>
          <w:r>
            <w:rPr>
              <w:rFonts w:hint="eastAsia" w:ascii="仿宋_GB2312" w:hAnsi="仿宋_GB2312" w:eastAsia="仿宋_GB2312" w:cs="仿宋_GB2312"/>
              <w:color w:val="auto"/>
              <w:sz w:val="28"/>
              <w:szCs w:val="28"/>
            </w:rPr>
            <w:fldChar w:fldCharType="separate"/>
          </w:r>
          <w:r>
            <w:rPr>
              <w:rFonts w:hint="eastAsia" w:ascii="黑体" w:hAnsi="黑体" w:eastAsia="黑体" w:cs="黑体"/>
              <w:color w:val="auto"/>
              <w:sz w:val="28"/>
              <w:szCs w:val="28"/>
            </w:rPr>
            <w:fldChar w:fldCharType="begin"/>
          </w:r>
          <w:r>
            <w:rPr>
              <w:rFonts w:hint="eastAsia" w:ascii="黑体" w:hAnsi="黑体" w:eastAsia="黑体" w:cs="黑体"/>
              <w:sz w:val="28"/>
              <w:szCs w:val="28"/>
            </w:rPr>
            <w:instrText xml:space="preserve"> HYPERLINK \l _Toc20672 </w:instrText>
          </w:r>
          <w:r>
            <w:rPr>
              <w:rFonts w:hint="eastAsia" w:ascii="黑体" w:hAnsi="黑体" w:eastAsia="黑体" w:cs="黑体"/>
              <w:sz w:val="28"/>
              <w:szCs w:val="28"/>
            </w:rPr>
            <w:fldChar w:fldCharType="separate"/>
          </w:r>
          <w:r>
            <w:rPr>
              <w:rFonts w:hint="eastAsia" w:ascii="黑体" w:hAnsi="黑体" w:eastAsia="黑体" w:cs="黑体"/>
              <w:sz w:val="28"/>
              <w:szCs w:val="28"/>
            </w:rPr>
            <w:t>前  言</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_Toc20672 \h </w:instrText>
          </w:r>
          <w:r>
            <w:rPr>
              <w:rFonts w:hint="eastAsia" w:ascii="黑体" w:hAnsi="黑体" w:eastAsia="黑体" w:cs="黑体"/>
              <w:sz w:val="28"/>
              <w:szCs w:val="28"/>
            </w:rPr>
            <w:fldChar w:fldCharType="separate"/>
          </w:r>
          <w:r>
            <w:rPr>
              <w:rFonts w:hint="eastAsia" w:ascii="黑体" w:hAnsi="黑体" w:eastAsia="黑体" w:cs="黑体"/>
              <w:sz w:val="28"/>
              <w:szCs w:val="28"/>
            </w:rPr>
            <w:t>1</w:t>
          </w:r>
          <w:r>
            <w:rPr>
              <w:rFonts w:hint="eastAsia" w:ascii="黑体" w:hAnsi="黑体" w:eastAsia="黑体" w:cs="黑体"/>
              <w:sz w:val="28"/>
              <w:szCs w:val="28"/>
            </w:rPr>
            <w:fldChar w:fldCharType="end"/>
          </w:r>
          <w:r>
            <w:rPr>
              <w:rFonts w:hint="eastAsia" w:ascii="黑体" w:hAnsi="黑体" w:eastAsia="黑体" w:cs="黑体"/>
              <w:color w:val="auto"/>
              <w:sz w:val="28"/>
              <w:szCs w:val="28"/>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28"/>
              <w:szCs w:val="28"/>
            </w:rPr>
          </w:pPr>
          <w:r>
            <w:rPr>
              <w:rFonts w:hint="eastAsia" w:ascii="黑体" w:hAnsi="黑体" w:eastAsia="黑体" w:cs="黑体"/>
              <w:color w:val="auto"/>
              <w:sz w:val="28"/>
              <w:szCs w:val="28"/>
            </w:rPr>
            <w:fldChar w:fldCharType="begin"/>
          </w:r>
          <w:r>
            <w:rPr>
              <w:rFonts w:hint="eastAsia" w:ascii="黑体" w:hAnsi="黑体" w:eastAsia="黑体" w:cs="黑体"/>
              <w:sz w:val="28"/>
              <w:szCs w:val="28"/>
            </w:rPr>
            <w:instrText xml:space="preserve"> HYPERLINK \l _Toc13521 </w:instrText>
          </w:r>
          <w:r>
            <w:rPr>
              <w:rFonts w:hint="eastAsia" w:ascii="黑体" w:hAnsi="黑体" w:eastAsia="黑体" w:cs="黑体"/>
              <w:sz w:val="28"/>
              <w:szCs w:val="28"/>
            </w:rPr>
            <w:fldChar w:fldCharType="separate"/>
          </w:r>
          <w:r>
            <w:rPr>
              <w:rFonts w:hint="eastAsia" w:ascii="黑体" w:hAnsi="黑体" w:eastAsia="黑体" w:cs="黑体"/>
              <w:sz w:val="28"/>
              <w:szCs w:val="28"/>
            </w:rPr>
            <w:t>一、发展形势</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_Toc13521 \h </w:instrText>
          </w:r>
          <w:r>
            <w:rPr>
              <w:rFonts w:hint="eastAsia" w:ascii="黑体" w:hAnsi="黑体" w:eastAsia="黑体" w:cs="黑体"/>
              <w:sz w:val="28"/>
              <w:szCs w:val="28"/>
            </w:rPr>
            <w:fldChar w:fldCharType="separate"/>
          </w:r>
          <w:r>
            <w:rPr>
              <w:rFonts w:hint="eastAsia" w:ascii="黑体" w:hAnsi="黑体" w:eastAsia="黑体" w:cs="黑体"/>
              <w:sz w:val="28"/>
              <w:szCs w:val="28"/>
            </w:rPr>
            <w:t>2</w:t>
          </w:r>
          <w:r>
            <w:rPr>
              <w:rFonts w:hint="eastAsia" w:ascii="黑体" w:hAnsi="黑体" w:eastAsia="黑体" w:cs="黑体"/>
              <w:sz w:val="28"/>
              <w:szCs w:val="28"/>
            </w:rPr>
            <w:fldChar w:fldCharType="end"/>
          </w:r>
          <w:r>
            <w:rPr>
              <w:rFonts w:hint="eastAsia" w:ascii="黑体" w:hAnsi="黑体" w:eastAsia="黑体" w:cs="黑体"/>
              <w:color w:val="auto"/>
              <w:sz w:val="28"/>
              <w:szCs w:val="28"/>
            </w:rPr>
            <w:fldChar w:fldCharType="end"/>
          </w:r>
        </w:p>
        <w:p>
          <w:pPr>
            <w:pStyle w:val="20"/>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sz w:val="28"/>
              <w:szCs w:val="28"/>
            </w:rPr>
            <w:instrText xml:space="preserve"> HYPERLINK \l _Toc22547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（一）国际发展现状</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_Toc22547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auto"/>
              <w:sz w:val="28"/>
              <w:szCs w:val="28"/>
            </w:rPr>
            <w:fldChar w:fldCharType="end"/>
          </w:r>
        </w:p>
        <w:p>
          <w:pPr>
            <w:pStyle w:val="20"/>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sz w:val="28"/>
              <w:szCs w:val="28"/>
            </w:rPr>
            <w:instrText xml:space="preserve"> HYPERLINK \l _Toc30553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（二）国内发展现状</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_Toc30553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auto"/>
              <w:sz w:val="28"/>
              <w:szCs w:val="28"/>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28"/>
              <w:szCs w:val="28"/>
            </w:rPr>
          </w:pPr>
          <w:r>
            <w:rPr>
              <w:rFonts w:hint="eastAsia" w:ascii="黑体" w:hAnsi="黑体" w:eastAsia="黑体" w:cs="黑体"/>
              <w:color w:val="auto"/>
              <w:sz w:val="28"/>
              <w:szCs w:val="28"/>
            </w:rPr>
            <w:fldChar w:fldCharType="begin"/>
          </w:r>
          <w:r>
            <w:rPr>
              <w:rFonts w:hint="eastAsia" w:ascii="黑体" w:hAnsi="黑体" w:eastAsia="黑体" w:cs="黑体"/>
              <w:color w:val="auto"/>
              <w:sz w:val="28"/>
              <w:szCs w:val="28"/>
            </w:rPr>
            <w:instrText xml:space="preserve"> HYPERLINK \l _Toc22551 </w:instrText>
          </w:r>
          <w:r>
            <w:rPr>
              <w:rFonts w:hint="eastAsia" w:ascii="黑体" w:hAnsi="黑体" w:eastAsia="黑体" w:cs="黑体"/>
              <w:color w:val="auto"/>
              <w:sz w:val="28"/>
              <w:szCs w:val="28"/>
            </w:rPr>
            <w:fldChar w:fldCharType="separate"/>
          </w:r>
          <w:r>
            <w:rPr>
              <w:rFonts w:hint="eastAsia" w:ascii="黑体" w:hAnsi="黑体" w:eastAsia="黑体" w:cs="黑体"/>
              <w:color w:val="auto"/>
              <w:sz w:val="28"/>
              <w:szCs w:val="28"/>
            </w:rPr>
            <w:t>二、发展基础</w:t>
          </w:r>
          <w:r>
            <w:rPr>
              <w:rFonts w:hint="eastAsia" w:ascii="黑体" w:hAnsi="黑体" w:eastAsia="黑体" w:cs="黑体"/>
              <w:color w:val="auto"/>
              <w:sz w:val="28"/>
              <w:szCs w:val="28"/>
            </w:rPr>
            <w:tab/>
          </w:r>
          <w:r>
            <w:rPr>
              <w:rFonts w:hint="eastAsia" w:ascii="黑体" w:hAnsi="黑体" w:eastAsia="黑体" w:cs="黑体"/>
              <w:color w:val="auto"/>
              <w:sz w:val="28"/>
              <w:szCs w:val="28"/>
            </w:rPr>
            <w:fldChar w:fldCharType="begin"/>
          </w:r>
          <w:r>
            <w:rPr>
              <w:rFonts w:hint="eastAsia" w:ascii="黑体" w:hAnsi="黑体" w:eastAsia="黑体" w:cs="黑体"/>
              <w:color w:val="auto"/>
              <w:sz w:val="28"/>
              <w:szCs w:val="28"/>
            </w:rPr>
            <w:instrText xml:space="preserve"> PAGEREF _Toc22551 \h </w:instrText>
          </w:r>
          <w:r>
            <w:rPr>
              <w:rFonts w:hint="eastAsia" w:ascii="黑体" w:hAnsi="黑体" w:eastAsia="黑体" w:cs="黑体"/>
              <w:color w:val="auto"/>
              <w:sz w:val="28"/>
              <w:szCs w:val="28"/>
            </w:rPr>
            <w:fldChar w:fldCharType="separate"/>
          </w:r>
          <w:r>
            <w:rPr>
              <w:rFonts w:hint="eastAsia" w:ascii="黑体" w:hAnsi="黑体" w:eastAsia="黑体" w:cs="黑体"/>
              <w:color w:val="auto"/>
              <w:sz w:val="28"/>
              <w:szCs w:val="28"/>
            </w:rPr>
            <w:t>5</w:t>
          </w:r>
          <w:r>
            <w:rPr>
              <w:rFonts w:hint="eastAsia" w:ascii="黑体" w:hAnsi="黑体" w:eastAsia="黑体" w:cs="黑体"/>
              <w:color w:val="auto"/>
              <w:sz w:val="28"/>
              <w:szCs w:val="28"/>
            </w:rPr>
            <w:fldChar w:fldCharType="end"/>
          </w:r>
          <w:r>
            <w:rPr>
              <w:rFonts w:hint="eastAsia" w:ascii="黑体" w:hAnsi="黑体" w:eastAsia="黑体" w:cs="黑体"/>
              <w:color w:val="auto"/>
              <w:sz w:val="28"/>
              <w:szCs w:val="28"/>
            </w:rPr>
            <w:fldChar w:fldCharType="end"/>
          </w:r>
        </w:p>
        <w:p>
          <w:pPr>
            <w:pStyle w:val="20"/>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sz w:val="28"/>
              <w:szCs w:val="28"/>
            </w:rPr>
            <w:instrText xml:space="preserve"> HYPERLINK \l _Toc11549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（一）发展现状</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_Toc11549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5</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auto"/>
              <w:sz w:val="28"/>
              <w:szCs w:val="28"/>
            </w:rPr>
            <w:fldChar w:fldCharType="end"/>
          </w:r>
        </w:p>
        <w:p>
          <w:pPr>
            <w:pStyle w:val="20"/>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sz w:val="28"/>
              <w:szCs w:val="28"/>
            </w:rPr>
            <w:instrText xml:space="preserve"> HYPERLINK \l _Toc28538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（二）存在不足</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_Toc28538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12</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auto"/>
              <w:sz w:val="28"/>
              <w:szCs w:val="28"/>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28"/>
              <w:szCs w:val="28"/>
            </w:rPr>
          </w:pPr>
          <w:r>
            <w:rPr>
              <w:rFonts w:hint="eastAsia" w:ascii="黑体" w:hAnsi="黑体" w:eastAsia="黑体" w:cs="黑体"/>
              <w:color w:val="auto"/>
              <w:sz w:val="28"/>
              <w:szCs w:val="28"/>
            </w:rPr>
            <w:fldChar w:fldCharType="begin"/>
          </w:r>
          <w:r>
            <w:rPr>
              <w:rFonts w:hint="eastAsia" w:ascii="黑体" w:hAnsi="黑体" w:eastAsia="黑体" w:cs="黑体"/>
              <w:color w:val="auto"/>
              <w:sz w:val="28"/>
              <w:szCs w:val="28"/>
            </w:rPr>
            <w:instrText xml:space="preserve"> HYPERLINK \l _Toc11909 </w:instrText>
          </w:r>
          <w:r>
            <w:rPr>
              <w:rFonts w:hint="eastAsia" w:ascii="黑体" w:hAnsi="黑体" w:eastAsia="黑体" w:cs="黑体"/>
              <w:color w:val="auto"/>
              <w:sz w:val="28"/>
              <w:szCs w:val="28"/>
            </w:rPr>
            <w:fldChar w:fldCharType="separate"/>
          </w:r>
          <w:r>
            <w:rPr>
              <w:rFonts w:hint="eastAsia" w:ascii="黑体" w:hAnsi="黑体" w:eastAsia="黑体" w:cs="黑体"/>
              <w:color w:val="auto"/>
              <w:sz w:val="28"/>
              <w:szCs w:val="28"/>
            </w:rPr>
            <w:t>三、总体思路</w:t>
          </w:r>
          <w:r>
            <w:rPr>
              <w:rFonts w:hint="eastAsia" w:ascii="黑体" w:hAnsi="黑体" w:eastAsia="黑体" w:cs="黑体"/>
              <w:color w:val="auto"/>
              <w:sz w:val="28"/>
              <w:szCs w:val="28"/>
            </w:rPr>
            <w:tab/>
          </w:r>
          <w:r>
            <w:rPr>
              <w:rFonts w:hint="eastAsia" w:ascii="黑体" w:hAnsi="黑体" w:eastAsia="黑体" w:cs="黑体"/>
              <w:color w:val="auto"/>
              <w:sz w:val="28"/>
              <w:szCs w:val="28"/>
            </w:rPr>
            <w:fldChar w:fldCharType="begin"/>
          </w:r>
          <w:r>
            <w:rPr>
              <w:rFonts w:hint="eastAsia" w:ascii="黑体" w:hAnsi="黑体" w:eastAsia="黑体" w:cs="黑体"/>
              <w:color w:val="auto"/>
              <w:sz w:val="28"/>
              <w:szCs w:val="28"/>
            </w:rPr>
            <w:instrText xml:space="preserve"> PAGEREF _Toc11909 \h </w:instrText>
          </w:r>
          <w:r>
            <w:rPr>
              <w:rFonts w:hint="eastAsia" w:ascii="黑体" w:hAnsi="黑体" w:eastAsia="黑体" w:cs="黑体"/>
              <w:color w:val="auto"/>
              <w:sz w:val="28"/>
              <w:szCs w:val="28"/>
            </w:rPr>
            <w:fldChar w:fldCharType="separate"/>
          </w:r>
          <w:r>
            <w:rPr>
              <w:rFonts w:hint="eastAsia" w:ascii="黑体" w:hAnsi="黑体" w:eastAsia="黑体" w:cs="黑体"/>
              <w:color w:val="auto"/>
              <w:sz w:val="28"/>
              <w:szCs w:val="28"/>
            </w:rPr>
            <w:t>13</w:t>
          </w:r>
          <w:r>
            <w:rPr>
              <w:rFonts w:hint="eastAsia" w:ascii="黑体" w:hAnsi="黑体" w:eastAsia="黑体" w:cs="黑体"/>
              <w:color w:val="auto"/>
              <w:sz w:val="28"/>
              <w:szCs w:val="28"/>
            </w:rPr>
            <w:fldChar w:fldCharType="end"/>
          </w:r>
          <w:r>
            <w:rPr>
              <w:rFonts w:hint="eastAsia" w:ascii="黑体" w:hAnsi="黑体" w:eastAsia="黑体" w:cs="黑体"/>
              <w:color w:val="auto"/>
              <w:sz w:val="28"/>
              <w:szCs w:val="28"/>
            </w:rPr>
            <w:fldChar w:fldCharType="end"/>
          </w:r>
        </w:p>
        <w:p>
          <w:pPr>
            <w:pStyle w:val="20"/>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sz w:val="28"/>
              <w:szCs w:val="28"/>
            </w:rPr>
            <w:instrText xml:space="preserve"> HYPERLINK \l _Toc16306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（一）指导思想</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_Toc16306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13</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auto"/>
              <w:sz w:val="28"/>
              <w:szCs w:val="28"/>
            </w:rPr>
            <w:fldChar w:fldCharType="end"/>
          </w:r>
        </w:p>
        <w:p>
          <w:pPr>
            <w:pStyle w:val="20"/>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sz w:val="28"/>
              <w:szCs w:val="28"/>
            </w:rPr>
            <w:instrText xml:space="preserve"> HYPERLINK \l _Toc16176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（二）发展原则</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_Toc16176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14</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auto"/>
              <w:sz w:val="28"/>
              <w:szCs w:val="28"/>
            </w:rPr>
            <w:fldChar w:fldCharType="end"/>
          </w:r>
        </w:p>
        <w:p>
          <w:pPr>
            <w:pStyle w:val="20"/>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sz w:val="28"/>
              <w:szCs w:val="28"/>
            </w:rPr>
            <w:instrText xml:space="preserve"> HYPERLINK \l _Toc3545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（三）发展目标</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_Toc3545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15</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auto"/>
              <w:sz w:val="28"/>
              <w:szCs w:val="28"/>
            </w:rPr>
            <w:fldChar w:fldCharType="end"/>
          </w:r>
        </w:p>
        <w:p>
          <w:pPr>
            <w:pStyle w:val="20"/>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sz w:val="28"/>
              <w:szCs w:val="28"/>
            </w:rPr>
            <w:instrText xml:space="preserve"> HYPERLINK \l _Toc18399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（四）发展路径</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_Toc18399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18</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auto"/>
              <w:sz w:val="28"/>
              <w:szCs w:val="28"/>
            </w:rPr>
            <w:fldChar w:fldCharType="end"/>
          </w:r>
        </w:p>
        <w:p>
          <w:pPr>
            <w:pStyle w:val="20"/>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sz w:val="28"/>
              <w:szCs w:val="28"/>
            </w:rPr>
            <w:instrText xml:space="preserve"> HYPERLINK \l _Toc16247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（五）产业布局</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_Toc16247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19</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auto"/>
              <w:sz w:val="28"/>
              <w:szCs w:val="28"/>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28"/>
              <w:szCs w:val="28"/>
            </w:rPr>
          </w:pPr>
          <w:r>
            <w:rPr>
              <w:rFonts w:hint="eastAsia" w:ascii="黑体" w:hAnsi="黑体" w:eastAsia="黑体" w:cs="黑体"/>
              <w:color w:val="auto"/>
              <w:sz w:val="28"/>
              <w:szCs w:val="28"/>
            </w:rPr>
            <w:fldChar w:fldCharType="begin"/>
          </w:r>
          <w:r>
            <w:rPr>
              <w:rFonts w:hint="eastAsia" w:ascii="黑体" w:hAnsi="黑体" w:eastAsia="黑体" w:cs="黑体"/>
              <w:color w:val="auto"/>
              <w:sz w:val="28"/>
              <w:szCs w:val="28"/>
            </w:rPr>
            <w:instrText xml:space="preserve"> HYPERLINK \l _Toc24740 </w:instrText>
          </w:r>
          <w:r>
            <w:rPr>
              <w:rFonts w:hint="eastAsia" w:ascii="黑体" w:hAnsi="黑体" w:eastAsia="黑体" w:cs="黑体"/>
              <w:color w:val="auto"/>
              <w:sz w:val="28"/>
              <w:szCs w:val="28"/>
            </w:rPr>
            <w:fldChar w:fldCharType="separate"/>
          </w:r>
          <w:r>
            <w:rPr>
              <w:rFonts w:hint="eastAsia" w:ascii="黑体" w:hAnsi="黑体" w:eastAsia="黑体" w:cs="黑体"/>
              <w:color w:val="auto"/>
              <w:sz w:val="28"/>
              <w:szCs w:val="28"/>
            </w:rPr>
            <w:t>四、发展重点</w:t>
          </w:r>
          <w:r>
            <w:rPr>
              <w:rFonts w:hint="eastAsia" w:ascii="黑体" w:hAnsi="黑体" w:eastAsia="黑体" w:cs="黑体"/>
              <w:color w:val="auto"/>
              <w:sz w:val="28"/>
              <w:szCs w:val="28"/>
            </w:rPr>
            <w:tab/>
          </w:r>
          <w:r>
            <w:rPr>
              <w:rFonts w:hint="eastAsia" w:ascii="黑体" w:hAnsi="黑体" w:eastAsia="黑体" w:cs="黑体"/>
              <w:color w:val="auto"/>
              <w:sz w:val="28"/>
              <w:szCs w:val="28"/>
            </w:rPr>
            <w:fldChar w:fldCharType="begin"/>
          </w:r>
          <w:r>
            <w:rPr>
              <w:rFonts w:hint="eastAsia" w:ascii="黑体" w:hAnsi="黑体" w:eastAsia="黑体" w:cs="黑体"/>
              <w:color w:val="auto"/>
              <w:sz w:val="28"/>
              <w:szCs w:val="28"/>
            </w:rPr>
            <w:instrText xml:space="preserve"> PAGEREF _Toc24740 \h </w:instrText>
          </w:r>
          <w:r>
            <w:rPr>
              <w:rFonts w:hint="eastAsia" w:ascii="黑体" w:hAnsi="黑体" w:eastAsia="黑体" w:cs="黑体"/>
              <w:color w:val="auto"/>
              <w:sz w:val="28"/>
              <w:szCs w:val="28"/>
            </w:rPr>
            <w:fldChar w:fldCharType="separate"/>
          </w:r>
          <w:r>
            <w:rPr>
              <w:rFonts w:hint="eastAsia" w:ascii="黑体" w:hAnsi="黑体" w:eastAsia="黑体" w:cs="黑体"/>
              <w:color w:val="auto"/>
              <w:sz w:val="28"/>
              <w:szCs w:val="28"/>
            </w:rPr>
            <w:t>21</w:t>
          </w:r>
          <w:r>
            <w:rPr>
              <w:rFonts w:hint="eastAsia" w:ascii="黑体" w:hAnsi="黑体" w:eastAsia="黑体" w:cs="黑体"/>
              <w:color w:val="auto"/>
              <w:sz w:val="28"/>
              <w:szCs w:val="28"/>
            </w:rPr>
            <w:fldChar w:fldCharType="end"/>
          </w:r>
          <w:r>
            <w:rPr>
              <w:rFonts w:hint="eastAsia" w:ascii="黑体" w:hAnsi="黑体" w:eastAsia="黑体" w:cs="黑体"/>
              <w:color w:val="auto"/>
              <w:sz w:val="28"/>
              <w:szCs w:val="28"/>
            </w:rPr>
            <w:fldChar w:fldCharType="end"/>
          </w:r>
        </w:p>
        <w:p>
          <w:pPr>
            <w:pStyle w:val="20"/>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sz w:val="28"/>
              <w:szCs w:val="28"/>
            </w:rPr>
            <w:instrText xml:space="preserve"> HYPERLINK \l _Toc14962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（一）支撑领域提质量</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_Toc14962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auto"/>
              <w:sz w:val="28"/>
              <w:szCs w:val="28"/>
            </w:rPr>
            <w:fldChar w:fldCharType="end"/>
          </w:r>
        </w:p>
        <w:p>
          <w:pPr>
            <w:pStyle w:val="20"/>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sz w:val="28"/>
              <w:szCs w:val="28"/>
            </w:rPr>
            <w:instrText xml:space="preserve"> HYPERLINK \l _Toc13689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（二）重点领域补短板</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_Toc13689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25</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auto"/>
              <w:sz w:val="28"/>
              <w:szCs w:val="28"/>
            </w:rPr>
            <w:fldChar w:fldCharType="end"/>
          </w:r>
        </w:p>
        <w:p>
          <w:pPr>
            <w:pStyle w:val="20"/>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sz w:val="28"/>
              <w:szCs w:val="28"/>
            </w:rPr>
            <w:instrText xml:space="preserve"> HYPERLINK \l _Toc10692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（三）前沿领域谋布局</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_Toc10692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29</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auto"/>
              <w:sz w:val="28"/>
              <w:szCs w:val="28"/>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28"/>
              <w:szCs w:val="28"/>
            </w:rPr>
          </w:pPr>
          <w:r>
            <w:rPr>
              <w:rFonts w:hint="eastAsia" w:ascii="黑体" w:hAnsi="黑体" w:eastAsia="黑体" w:cs="黑体"/>
              <w:color w:val="auto"/>
              <w:sz w:val="28"/>
              <w:szCs w:val="28"/>
            </w:rPr>
            <w:fldChar w:fldCharType="begin"/>
          </w:r>
          <w:r>
            <w:rPr>
              <w:rFonts w:hint="eastAsia" w:ascii="黑体" w:hAnsi="黑体" w:eastAsia="黑体" w:cs="黑体"/>
              <w:color w:val="auto"/>
              <w:sz w:val="28"/>
              <w:szCs w:val="28"/>
            </w:rPr>
            <w:instrText xml:space="preserve"> HYPERLINK \l _Toc24754 </w:instrText>
          </w:r>
          <w:r>
            <w:rPr>
              <w:rFonts w:hint="eastAsia" w:ascii="黑体" w:hAnsi="黑体" w:eastAsia="黑体" w:cs="黑体"/>
              <w:color w:val="auto"/>
              <w:sz w:val="28"/>
              <w:szCs w:val="28"/>
            </w:rPr>
            <w:fldChar w:fldCharType="separate"/>
          </w:r>
          <w:r>
            <w:rPr>
              <w:rFonts w:hint="eastAsia" w:ascii="黑体" w:hAnsi="黑体" w:eastAsia="黑体" w:cs="黑体"/>
              <w:color w:val="auto"/>
              <w:sz w:val="28"/>
              <w:szCs w:val="28"/>
            </w:rPr>
            <w:t>五、主要任务</w:t>
          </w:r>
          <w:r>
            <w:rPr>
              <w:rFonts w:hint="eastAsia" w:ascii="黑体" w:hAnsi="黑体" w:eastAsia="黑体" w:cs="黑体"/>
              <w:color w:val="auto"/>
              <w:sz w:val="28"/>
              <w:szCs w:val="28"/>
            </w:rPr>
            <w:tab/>
          </w:r>
          <w:r>
            <w:rPr>
              <w:rFonts w:hint="eastAsia" w:ascii="黑体" w:hAnsi="黑体" w:eastAsia="黑体" w:cs="黑体"/>
              <w:color w:val="auto"/>
              <w:sz w:val="28"/>
              <w:szCs w:val="28"/>
            </w:rPr>
            <w:fldChar w:fldCharType="begin"/>
          </w:r>
          <w:r>
            <w:rPr>
              <w:rFonts w:hint="eastAsia" w:ascii="黑体" w:hAnsi="黑体" w:eastAsia="黑体" w:cs="黑体"/>
              <w:color w:val="auto"/>
              <w:sz w:val="28"/>
              <w:szCs w:val="28"/>
            </w:rPr>
            <w:instrText xml:space="preserve"> PAGEREF _Toc24754 \h </w:instrText>
          </w:r>
          <w:r>
            <w:rPr>
              <w:rFonts w:hint="eastAsia" w:ascii="黑体" w:hAnsi="黑体" w:eastAsia="黑体" w:cs="黑体"/>
              <w:color w:val="auto"/>
              <w:sz w:val="28"/>
              <w:szCs w:val="28"/>
            </w:rPr>
            <w:fldChar w:fldCharType="separate"/>
          </w:r>
          <w:r>
            <w:rPr>
              <w:rFonts w:hint="eastAsia" w:ascii="黑体" w:hAnsi="黑体" w:eastAsia="黑体" w:cs="黑体"/>
              <w:color w:val="auto"/>
              <w:sz w:val="28"/>
              <w:szCs w:val="28"/>
            </w:rPr>
            <w:t>33</w:t>
          </w:r>
          <w:r>
            <w:rPr>
              <w:rFonts w:hint="eastAsia" w:ascii="黑体" w:hAnsi="黑体" w:eastAsia="黑体" w:cs="黑体"/>
              <w:color w:val="auto"/>
              <w:sz w:val="28"/>
              <w:szCs w:val="28"/>
            </w:rPr>
            <w:fldChar w:fldCharType="end"/>
          </w:r>
          <w:r>
            <w:rPr>
              <w:rFonts w:hint="eastAsia" w:ascii="黑体" w:hAnsi="黑体" w:eastAsia="黑体" w:cs="黑体"/>
              <w:color w:val="auto"/>
              <w:sz w:val="28"/>
              <w:szCs w:val="28"/>
            </w:rPr>
            <w:fldChar w:fldCharType="end"/>
          </w:r>
        </w:p>
        <w:p>
          <w:pPr>
            <w:pStyle w:val="20"/>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sz w:val="28"/>
              <w:szCs w:val="28"/>
            </w:rPr>
            <w:instrText xml:space="preserve"> HYPERLINK \l _Toc29867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（一）着力激发产业发展动能</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_Toc29867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33</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auto"/>
              <w:sz w:val="28"/>
              <w:szCs w:val="28"/>
            </w:rPr>
            <w:fldChar w:fldCharType="end"/>
          </w:r>
        </w:p>
        <w:p>
          <w:pPr>
            <w:pStyle w:val="20"/>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sz w:val="28"/>
              <w:szCs w:val="28"/>
            </w:rPr>
            <w:instrText xml:space="preserve"> HYPERLINK \l _Toc29161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（二）加快高成长性企业培育</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_Toc29161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35</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auto"/>
              <w:sz w:val="28"/>
              <w:szCs w:val="28"/>
            </w:rPr>
            <w:fldChar w:fldCharType="end"/>
          </w:r>
        </w:p>
        <w:p>
          <w:pPr>
            <w:pStyle w:val="20"/>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sz w:val="28"/>
              <w:szCs w:val="28"/>
            </w:rPr>
            <w:instrText xml:space="preserve"> HYPERLINK \l _Toc25696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（三）全面提升源头创新能力</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_Toc25696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36</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auto"/>
              <w:sz w:val="28"/>
              <w:szCs w:val="28"/>
            </w:rPr>
            <w:fldChar w:fldCharType="end"/>
          </w:r>
        </w:p>
        <w:p>
          <w:pPr>
            <w:pStyle w:val="20"/>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sz w:val="28"/>
              <w:szCs w:val="28"/>
            </w:rPr>
            <w:instrText xml:space="preserve"> HYPERLINK \l _Toc19794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（四）打造产业融合发展态势</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_Toc19794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38</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auto"/>
              <w:sz w:val="28"/>
              <w:szCs w:val="28"/>
            </w:rPr>
            <w:fldChar w:fldCharType="end"/>
          </w:r>
        </w:p>
        <w:p>
          <w:pPr>
            <w:pStyle w:val="20"/>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sz w:val="28"/>
              <w:szCs w:val="28"/>
            </w:rPr>
            <w:instrText xml:space="preserve"> HYPERLINK \l _Toc5288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（五）构筑产业创新发展环境</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_Toc5288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40</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auto"/>
              <w:sz w:val="28"/>
              <w:szCs w:val="28"/>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28"/>
              <w:szCs w:val="28"/>
            </w:rPr>
          </w:pPr>
          <w:r>
            <w:rPr>
              <w:rFonts w:hint="eastAsia" w:ascii="黑体" w:hAnsi="黑体" w:eastAsia="黑体" w:cs="黑体"/>
              <w:color w:val="auto"/>
              <w:sz w:val="28"/>
              <w:szCs w:val="28"/>
            </w:rPr>
            <w:fldChar w:fldCharType="begin"/>
          </w:r>
          <w:r>
            <w:rPr>
              <w:rFonts w:hint="eastAsia" w:ascii="黑体" w:hAnsi="黑体" w:eastAsia="黑体" w:cs="黑体"/>
              <w:color w:val="auto"/>
              <w:sz w:val="28"/>
              <w:szCs w:val="28"/>
            </w:rPr>
            <w:instrText xml:space="preserve"> HYPERLINK \l _Toc11924 </w:instrText>
          </w:r>
          <w:r>
            <w:rPr>
              <w:rFonts w:hint="eastAsia" w:ascii="黑体" w:hAnsi="黑体" w:eastAsia="黑体" w:cs="黑体"/>
              <w:color w:val="auto"/>
              <w:sz w:val="28"/>
              <w:szCs w:val="28"/>
            </w:rPr>
            <w:fldChar w:fldCharType="separate"/>
          </w:r>
          <w:r>
            <w:rPr>
              <w:rFonts w:hint="eastAsia" w:ascii="黑体" w:hAnsi="黑体" w:eastAsia="黑体" w:cs="黑体"/>
              <w:color w:val="auto"/>
              <w:sz w:val="28"/>
              <w:szCs w:val="28"/>
            </w:rPr>
            <w:t>六、重点工程</w:t>
          </w:r>
          <w:r>
            <w:rPr>
              <w:rFonts w:hint="eastAsia" w:ascii="黑体" w:hAnsi="黑体" w:eastAsia="黑体" w:cs="黑体"/>
              <w:color w:val="auto"/>
              <w:sz w:val="28"/>
              <w:szCs w:val="28"/>
            </w:rPr>
            <w:tab/>
          </w:r>
          <w:r>
            <w:rPr>
              <w:rFonts w:hint="eastAsia" w:ascii="黑体" w:hAnsi="黑体" w:eastAsia="黑体" w:cs="黑体"/>
              <w:color w:val="auto"/>
              <w:sz w:val="28"/>
              <w:szCs w:val="28"/>
            </w:rPr>
            <w:fldChar w:fldCharType="begin"/>
          </w:r>
          <w:r>
            <w:rPr>
              <w:rFonts w:hint="eastAsia" w:ascii="黑体" w:hAnsi="黑体" w:eastAsia="黑体" w:cs="黑体"/>
              <w:color w:val="auto"/>
              <w:sz w:val="28"/>
              <w:szCs w:val="28"/>
            </w:rPr>
            <w:instrText xml:space="preserve"> PAGEREF _Toc11924 \h </w:instrText>
          </w:r>
          <w:r>
            <w:rPr>
              <w:rFonts w:hint="eastAsia" w:ascii="黑体" w:hAnsi="黑体" w:eastAsia="黑体" w:cs="黑体"/>
              <w:color w:val="auto"/>
              <w:sz w:val="28"/>
              <w:szCs w:val="28"/>
            </w:rPr>
            <w:fldChar w:fldCharType="separate"/>
          </w:r>
          <w:r>
            <w:rPr>
              <w:rFonts w:hint="eastAsia" w:ascii="黑体" w:hAnsi="黑体" w:eastAsia="黑体" w:cs="黑体"/>
              <w:color w:val="auto"/>
              <w:sz w:val="28"/>
              <w:szCs w:val="28"/>
            </w:rPr>
            <w:t>41</w:t>
          </w:r>
          <w:r>
            <w:rPr>
              <w:rFonts w:hint="eastAsia" w:ascii="黑体" w:hAnsi="黑体" w:eastAsia="黑体" w:cs="黑体"/>
              <w:color w:val="auto"/>
              <w:sz w:val="28"/>
              <w:szCs w:val="28"/>
            </w:rPr>
            <w:fldChar w:fldCharType="end"/>
          </w:r>
          <w:r>
            <w:rPr>
              <w:rFonts w:hint="eastAsia" w:ascii="黑体" w:hAnsi="黑体" w:eastAsia="黑体" w:cs="黑体"/>
              <w:color w:val="auto"/>
              <w:sz w:val="28"/>
              <w:szCs w:val="28"/>
            </w:rPr>
            <w:fldChar w:fldCharType="end"/>
          </w:r>
        </w:p>
        <w:p>
          <w:pPr>
            <w:pStyle w:val="20"/>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sz w:val="28"/>
              <w:szCs w:val="28"/>
            </w:rPr>
            <w:instrText xml:space="preserve"> HYPERLINK \l _Toc28082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（一）重大创新平台建设工程</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_Toc28082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41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auto"/>
              <w:sz w:val="28"/>
              <w:szCs w:val="28"/>
            </w:rPr>
            <w:fldChar w:fldCharType="end"/>
          </w:r>
        </w:p>
        <w:p>
          <w:pPr>
            <w:pStyle w:val="20"/>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sz w:val="28"/>
              <w:szCs w:val="28"/>
            </w:rPr>
            <w:instrText xml:space="preserve"> HYPERLINK \l _Toc13219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（二）产业支撑平台建设工程</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_Toc13219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43</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auto"/>
              <w:sz w:val="28"/>
              <w:szCs w:val="28"/>
            </w:rPr>
            <w:fldChar w:fldCharType="end"/>
          </w:r>
        </w:p>
        <w:p>
          <w:pPr>
            <w:pStyle w:val="20"/>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sz w:val="28"/>
              <w:szCs w:val="28"/>
            </w:rPr>
            <w:instrText xml:space="preserve"> HYPERLINK \l _Toc6687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（三）新型基础设施建设工程</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_Toc6687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46</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auto"/>
              <w:sz w:val="28"/>
              <w:szCs w:val="28"/>
            </w:rPr>
            <w:fldChar w:fldCharType="end"/>
          </w:r>
        </w:p>
        <w:p>
          <w:pPr>
            <w:pStyle w:val="20"/>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sz w:val="28"/>
              <w:szCs w:val="28"/>
            </w:rPr>
            <w:instrText xml:space="preserve"> HYPERLINK \l _Toc14125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（四）试点示范推广应用工程</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_Toc14125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48</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auto"/>
              <w:sz w:val="28"/>
              <w:szCs w:val="28"/>
            </w:rPr>
            <w:fldChar w:fldCharType="end"/>
          </w:r>
        </w:p>
        <w:p>
          <w:pPr>
            <w:pStyle w:val="20"/>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sz w:val="28"/>
              <w:szCs w:val="28"/>
            </w:rPr>
            <w:instrText xml:space="preserve"> HYPERLINK \l _Toc16945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（五）重点领域融合赋能工程</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_Toc16945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50</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auto"/>
              <w:sz w:val="28"/>
              <w:szCs w:val="28"/>
            </w:rPr>
            <w:fldChar w:fldCharType="end"/>
          </w:r>
        </w:p>
        <w:p>
          <w:pPr>
            <w:pStyle w:val="20"/>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sz w:val="28"/>
              <w:szCs w:val="28"/>
            </w:rPr>
            <w:instrText xml:space="preserve"> HYPERLINK \l _Toc16270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（六）产业高端智库建设工程</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_Toc16270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52</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auto"/>
              <w:sz w:val="28"/>
              <w:szCs w:val="28"/>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28"/>
              <w:szCs w:val="28"/>
            </w:rPr>
          </w:pPr>
          <w:r>
            <w:rPr>
              <w:rFonts w:hint="eastAsia" w:ascii="黑体" w:hAnsi="黑体" w:eastAsia="黑体" w:cs="黑体"/>
              <w:color w:val="auto"/>
              <w:sz w:val="28"/>
              <w:szCs w:val="28"/>
            </w:rPr>
            <w:fldChar w:fldCharType="begin"/>
          </w:r>
          <w:r>
            <w:rPr>
              <w:rFonts w:hint="eastAsia" w:ascii="黑体" w:hAnsi="黑体" w:eastAsia="黑体" w:cs="黑体"/>
              <w:color w:val="auto"/>
              <w:sz w:val="28"/>
              <w:szCs w:val="28"/>
            </w:rPr>
            <w:instrText xml:space="preserve"> HYPERLINK \l _Toc23912 </w:instrText>
          </w:r>
          <w:r>
            <w:rPr>
              <w:rFonts w:hint="eastAsia" w:ascii="黑体" w:hAnsi="黑体" w:eastAsia="黑体" w:cs="黑体"/>
              <w:color w:val="auto"/>
              <w:sz w:val="28"/>
              <w:szCs w:val="28"/>
            </w:rPr>
            <w:fldChar w:fldCharType="separate"/>
          </w:r>
          <w:r>
            <w:rPr>
              <w:rFonts w:hint="eastAsia" w:ascii="黑体" w:hAnsi="黑体" w:eastAsia="黑体" w:cs="黑体"/>
              <w:color w:val="auto"/>
              <w:sz w:val="28"/>
              <w:szCs w:val="28"/>
            </w:rPr>
            <w:t>七、保障措施</w:t>
          </w:r>
          <w:r>
            <w:rPr>
              <w:rFonts w:hint="eastAsia" w:ascii="黑体" w:hAnsi="黑体" w:eastAsia="黑体" w:cs="黑体"/>
              <w:color w:val="auto"/>
              <w:sz w:val="28"/>
              <w:szCs w:val="28"/>
            </w:rPr>
            <w:tab/>
          </w:r>
          <w:r>
            <w:rPr>
              <w:rFonts w:hint="eastAsia" w:ascii="黑体" w:hAnsi="黑体" w:eastAsia="黑体" w:cs="黑体"/>
              <w:color w:val="auto"/>
              <w:sz w:val="28"/>
              <w:szCs w:val="28"/>
            </w:rPr>
            <w:fldChar w:fldCharType="begin"/>
          </w:r>
          <w:r>
            <w:rPr>
              <w:rFonts w:hint="eastAsia" w:ascii="黑体" w:hAnsi="黑体" w:eastAsia="黑体" w:cs="黑体"/>
              <w:color w:val="auto"/>
              <w:sz w:val="28"/>
              <w:szCs w:val="28"/>
            </w:rPr>
            <w:instrText xml:space="preserve"> PAGEREF _Toc23912 \h </w:instrText>
          </w:r>
          <w:r>
            <w:rPr>
              <w:rFonts w:hint="eastAsia" w:ascii="黑体" w:hAnsi="黑体" w:eastAsia="黑体" w:cs="黑体"/>
              <w:color w:val="auto"/>
              <w:sz w:val="28"/>
              <w:szCs w:val="28"/>
            </w:rPr>
            <w:fldChar w:fldCharType="separate"/>
          </w:r>
          <w:r>
            <w:rPr>
              <w:rFonts w:hint="eastAsia" w:ascii="黑体" w:hAnsi="黑体" w:eastAsia="黑体" w:cs="黑体"/>
              <w:color w:val="auto"/>
              <w:sz w:val="28"/>
              <w:szCs w:val="28"/>
            </w:rPr>
            <w:t>54</w:t>
          </w:r>
          <w:r>
            <w:rPr>
              <w:rFonts w:hint="eastAsia" w:ascii="黑体" w:hAnsi="黑体" w:eastAsia="黑体" w:cs="黑体"/>
              <w:color w:val="auto"/>
              <w:sz w:val="28"/>
              <w:szCs w:val="28"/>
            </w:rPr>
            <w:fldChar w:fldCharType="end"/>
          </w:r>
          <w:r>
            <w:rPr>
              <w:rFonts w:hint="eastAsia" w:ascii="黑体" w:hAnsi="黑体" w:eastAsia="黑体" w:cs="黑体"/>
              <w:color w:val="auto"/>
              <w:sz w:val="28"/>
              <w:szCs w:val="28"/>
            </w:rPr>
            <w:fldChar w:fldCharType="end"/>
          </w:r>
        </w:p>
        <w:p>
          <w:pPr>
            <w:pStyle w:val="20"/>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sz w:val="28"/>
              <w:szCs w:val="28"/>
            </w:rPr>
            <w:instrText xml:space="preserve"> HYPERLINK \l _Toc11896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（一）加强组织领导</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_Toc11896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54</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auto"/>
              <w:sz w:val="28"/>
              <w:szCs w:val="28"/>
            </w:rPr>
            <w:fldChar w:fldCharType="end"/>
          </w:r>
        </w:p>
        <w:p>
          <w:pPr>
            <w:pStyle w:val="20"/>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sz w:val="28"/>
              <w:szCs w:val="28"/>
            </w:rPr>
            <w:instrText xml:space="preserve"> HYPERLINK \l _Toc13852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（二）加大资金扶持</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_Toc13852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55</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auto"/>
              <w:sz w:val="28"/>
              <w:szCs w:val="28"/>
            </w:rPr>
            <w:fldChar w:fldCharType="end"/>
          </w:r>
        </w:p>
        <w:p>
          <w:pPr>
            <w:pStyle w:val="20"/>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sz w:val="28"/>
              <w:szCs w:val="28"/>
            </w:rPr>
            <w:instrText xml:space="preserve"> HYPERLINK \l _Toc32422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（三）强化人才引培</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_Toc32422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55</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auto"/>
              <w:sz w:val="28"/>
              <w:szCs w:val="28"/>
            </w:rPr>
            <w:fldChar w:fldCharType="end"/>
          </w:r>
        </w:p>
        <w:p>
          <w:pPr>
            <w:pStyle w:val="20"/>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sz w:val="28"/>
              <w:szCs w:val="28"/>
            </w:rPr>
            <w:instrText xml:space="preserve"> HYPERLINK \l _Toc22228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（四）优化发展环境</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_Toc22228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56</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auto"/>
              <w:sz w:val="28"/>
              <w:szCs w:val="28"/>
            </w:rPr>
            <w:fldChar w:fldCharType="end"/>
          </w:r>
        </w:p>
        <w:p>
          <w:pPr>
            <w:pStyle w:val="20"/>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sz w:val="28"/>
              <w:szCs w:val="28"/>
            </w:rPr>
            <w:instrText xml:space="preserve"> HYPERLINK \l _Toc2132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（五）加强监测评估</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_Toc2132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56</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auto"/>
              <w:sz w:val="28"/>
              <w:szCs w:val="28"/>
            </w:rPr>
            <w:fldChar w:fldCharType="end"/>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仿宋" w:hAnsi="仿宋" w:cs="仿宋"/>
              <w:color w:val="auto"/>
              <w:sz w:val="28"/>
              <w:szCs w:val="28"/>
            </w:rPr>
          </w:pPr>
          <w:r>
            <w:rPr>
              <w:rFonts w:hint="eastAsia" w:ascii="仿宋_GB2312" w:hAnsi="仿宋_GB2312" w:eastAsia="仿宋_GB2312" w:cs="仿宋_GB2312"/>
              <w:color w:val="auto"/>
              <w:sz w:val="28"/>
              <w:szCs w:val="28"/>
            </w:rPr>
            <w:fldChar w:fldCharType="end"/>
          </w:r>
        </w:p>
      </w:sdtContent>
    </w:sdt>
    <w:p>
      <w:pPr>
        <w:pStyle w:val="4"/>
        <w:spacing w:line="240" w:lineRule="auto"/>
        <w:ind w:firstLine="560"/>
        <w:rPr>
          <w:rFonts w:ascii="仿宋" w:hAnsi="仿宋" w:eastAsia="仿宋" w:cs="仿宋"/>
          <w:color w:val="auto"/>
          <w:sz w:val="28"/>
          <w:szCs w:val="28"/>
        </w:rPr>
        <w:sectPr>
          <w:headerReference r:id="rId11" w:type="first"/>
          <w:footerReference r:id="rId13" w:type="first"/>
          <w:footerReference r:id="rId12"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titlePg/>
          <w:docGrid w:type="lines" w:linePitch="312" w:charSpace="0"/>
        </w:sectPr>
      </w:pPr>
    </w:p>
    <w:p>
      <w:pPr>
        <w:pStyle w:val="4"/>
        <w:ind w:firstLine="0" w:firstLineChars="0"/>
        <w:jc w:val="center"/>
        <w:rPr>
          <w:color w:val="auto"/>
          <w:szCs w:val="32"/>
        </w:rPr>
      </w:pPr>
      <w:bookmarkStart w:id="2" w:name="_Toc10424"/>
      <w:bookmarkStart w:id="3" w:name="_Toc6207"/>
      <w:bookmarkStart w:id="4" w:name="_Toc28370"/>
      <w:bookmarkStart w:id="5" w:name="_Toc23279"/>
      <w:bookmarkStart w:id="6" w:name="_Toc20672"/>
      <w:r>
        <w:rPr>
          <w:rFonts w:hint="eastAsia"/>
          <w:color w:val="auto"/>
        </w:rPr>
        <w:t>前  言</w:t>
      </w:r>
      <w:bookmarkEnd w:id="2"/>
      <w:bookmarkEnd w:id="3"/>
      <w:bookmarkEnd w:id="4"/>
      <w:bookmarkEnd w:id="5"/>
      <w:bookmarkEnd w:id="6"/>
    </w:p>
    <w:p>
      <w:pPr>
        <w:ind w:firstLine="640"/>
        <w:rPr>
          <w:rFonts w:ascii="仿宋_GB2312" w:hAnsi="仿宋_GB2312" w:cs="仿宋_GB2312"/>
          <w:color w:val="auto"/>
        </w:rPr>
      </w:pPr>
      <w:r>
        <w:rPr>
          <w:rFonts w:hint="eastAsia" w:ascii="仿宋_GB2312" w:hAnsi="仿宋_GB2312" w:cs="仿宋_GB2312"/>
          <w:color w:val="auto"/>
        </w:rPr>
        <w:t>新一代信息技术产业作为新一轮科技革命和产业变革的主导力量，是重塑区域产业格局、提高产业竞争力的重要支撑，是未来决定国家科技实力和地位的关键所在，已成为培育经济发展新动能的关键载体和传统</w:t>
      </w:r>
      <w:bookmarkStart w:id="43" w:name="_GoBack"/>
      <w:bookmarkEnd w:id="43"/>
      <w:r>
        <w:rPr>
          <w:rFonts w:hint="eastAsia" w:ascii="仿宋_GB2312" w:hAnsi="仿宋_GB2312" w:cs="仿宋_GB2312"/>
          <w:color w:val="auto"/>
        </w:rPr>
        <w:t>动能提升改造的助燃剂，正在成长为现代产业体系的新支柱。</w:t>
      </w:r>
    </w:p>
    <w:p>
      <w:pPr>
        <w:ind w:firstLine="640"/>
        <w:rPr>
          <w:rFonts w:ascii="仿宋_GB2312" w:hAnsi="仿宋_GB2312" w:cs="仿宋_GB2312"/>
          <w:color w:val="auto"/>
        </w:rPr>
      </w:pPr>
      <w:r>
        <w:rPr>
          <w:rFonts w:hint="eastAsia" w:ascii="仿宋_GB2312" w:hAnsi="仿宋_GB2312" w:cs="仿宋_GB2312"/>
          <w:color w:val="auto"/>
        </w:rPr>
        <w:t>郑州市委、市政府认真贯彻落实党中央、国务院精神，主动把握新一轮信息技术产业主导的全球产业格局重塑机遇，把新一代信息技术产业作为全市六大主导产业之一，“十三五”期间出台了加快发展新一代信息技术产业的系列政策文件，扎实推动新一代信息技术产业高质量发展。新一代信息技术产业已成为引领郑州数字经济发展的重要推动力，成为实施创新驱动发展战略、推动产业结构优化调整、加快转型升级、培育发展新动能的重要支撑。</w:t>
      </w:r>
    </w:p>
    <w:p>
      <w:pPr>
        <w:ind w:firstLine="640"/>
        <w:rPr>
          <w:rFonts w:ascii="仿宋_GB2312" w:hAnsi="仿宋_GB2312" w:cs="仿宋_GB2312"/>
          <w:color w:val="auto"/>
        </w:rPr>
      </w:pPr>
      <w:r>
        <w:rPr>
          <w:rFonts w:hint="eastAsia" w:ascii="仿宋_GB2312" w:hAnsi="仿宋_GB2312" w:cs="仿宋_GB2312"/>
          <w:color w:val="auto"/>
        </w:rPr>
        <w:t>“十四五”时期是郑州市数字经济高质量发展的关键期，也是新一代信息技术产业实现跨越式发展的重要机遇期。本规划依据国家、省、市关于国民经济和社会发展第十四个五年规划和河南省、郑州市“十四五”战略性新兴产业发展规划等文件内容，并结合河南省、郑州市新新一代信息技术产业相关规划文件和郑州市实际情况制定，是指导郑州市“十四五”时期新一代信息技术产业发展的指导性文件。</w:t>
      </w:r>
    </w:p>
    <w:p>
      <w:pPr>
        <w:ind w:firstLine="640"/>
        <w:rPr>
          <w:rFonts w:ascii="仿宋" w:hAnsi="仿宋" w:cs="仿宋"/>
          <w:color w:val="auto"/>
        </w:rPr>
      </w:pPr>
      <w:r>
        <w:rPr>
          <w:rFonts w:hint="eastAsia" w:ascii="仿宋_GB2312" w:hAnsi="仿宋_GB2312" w:cs="仿宋_GB2312"/>
          <w:color w:val="auto"/>
        </w:rPr>
        <w:t>本规划期限为5年，自2021年至2025年。</w:t>
      </w:r>
    </w:p>
    <w:p>
      <w:pPr>
        <w:pStyle w:val="4"/>
        <w:ind w:firstLine="640"/>
        <w:rPr>
          <w:color w:val="auto"/>
        </w:rPr>
        <w:sectPr>
          <w:footerReference r:id="rId15" w:type="first"/>
          <w:footerReference r:id="rId14"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pPr>
        <w:pStyle w:val="4"/>
        <w:ind w:firstLine="640"/>
        <w:rPr>
          <w:color w:val="auto"/>
        </w:rPr>
      </w:pPr>
      <w:bookmarkStart w:id="7" w:name="_Toc13521"/>
      <w:r>
        <w:rPr>
          <w:rFonts w:hint="eastAsia"/>
          <w:color w:val="auto"/>
        </w:rPr>
        <w:t>一、发展形势</w:t>
      </w:r>
      <w:bookmarkEnd w:id="7"/>
    </w:p>
    <w:p>
      <w:pPr>
        <w:pStyle w:val="5"/>
        <w:rPr>
          <w:color w:val="auto"/>
        </w:rPr>
      </w:pPr>
      <w:bookmarkStart w:id="8" w:name="_Toc22547"/>
      <w:r>
        <w:rPr>
          <w:rFonts w:hint="eastAsia"/>
          <w:color w:val="auto"/>
        </w:rPr>
        <w:t>（一）国际发展现状</w:t>
      </w:r>
      <w:bookmarkEnd w:id="8"/>
    </w:p>
    <w:p>
      <w:pPr>
        <w:rPr>
          <w:rFonts w:ascii="楷体_GB2312" w:hAnsi="楷体_GB2312" w:eastAsia="楷体_GB2312" w:cs="楷体_GB2312"/>
          <w:b/>
          <w:bCs/>
          <w:color w:val="auto"/>
        </w:rPr>
      </w:pPr>
      <w:r>
        <w:rPr>
          <w:rFonts w:hint="eastAsia" w:ascii="楷体_GB2312" w:hAnsi="楷体_GB2312" w:eastAsia="楷体_GB2312" w:cs="楷体_GB2312"/>
          <w:b/>
          <w:bCs/>
          <w:color w:val="auto"/>
        </w:rPr>
        <w:t>1.国际科技竞争新格局加速形成</w:t>
      </w:r>
    </w:p>
    <w:p>
      <w:pPr>
        <w:ind w:firstLine="640"/>
        <w:rPr>
          <w:rFonts w:ascii="仿宋_GB2312" w:hAnsi="仿宋_GB2312" w:cs="仿宋_GB2312"/>
          <w:color w:val="auto"/>
        </w:rPr>
      </w:pPr>
      <w:r>
        <w:rPr>
          <w:rFonts w:hint="eastAsia" w:ascii="仿宋_GB2312" w:hAnsi="仿宋_GB2312" w:cs="仿宋_GB2312"/>
          <w:color w:val="auto"/>
        </w:rPr>
        <w:t>全球新一轮科技革命和产业变革蓬勃推进。以5G、人工智能、大数据、云计算、区块链等为代表的新一代信息技术加速迭代，已经成为推动经济发展质量变革、效率变革、动力变革的重要驱动力，对经济发展、社会进步、全球治理等方面产生了重大而深远影响。随着新一代信息技术领域的创新资源要素的不断集聚，新业务形态、新商业模式互动融合加速推进全球产业链、供应链深化变革。基于新一代信息技术的国际竞争进一步激烈，全球正在进入以新一代信息技术产业为主导的经济发展新阶段。</w:t>
      </w:r>
    </w:p>
    <w:p>
      <w:pPr>
        <w:rPr>
          <w:rFonts w:ascii="楷体_GB2312" w:hAnsi="楷体_GB2312" w:eastAsia="楷体_GB2312" w:cs="楷体_GB2312"/>
          <w:b/>
          <w:bCs/>
          <w:color w:val="auto"/>
        </w:rPr>
      </w:pPr>
      <w:r>
        <w:rPr>
          <w:rFonts w:hint="eastAsia" w:ascii="楷体_GB2312" w:hAnsi="楷体_GB2312" w:eastAsia="楷体_GB2312" w:cs="楷体_GB2312"/>
          <w:b/>
          <w:bCs/>
          <w:color w:val="auto"/>
        </w:rPr>
        <w:t>2.数字技术引领经济增长新时代</w:t>
      </w:r>
    </w:p>
    <w:p>
      <w:pPr>
        <w:ind w:firstLine="640"/>
        <w:rPr>
          <w:rFonts w:ascii="仿宋_GB2312" w:hAnsi="仿宋_GB2312" w:cs="仿宋_GB2312"/>
          <w:color w:val="auto"/>
        </w:rPr>
      </w:pPr>
      <w:r>
        <w:rPr>
          <w:rFonts w:hint="eastAsia" w:ascii="仿宋_GB2312" w:hAnsi="仿宋_GB2312" w:cs="仿宋_GB2312"/>
          <w:color w:val="auto"/>
        </w:rPr>
        <w:t>近年来，国际经济环境复杂严峻，整体经济下行压力增大，但以新一代信息技术产业为引领的全球数字经济依然保持了较快增长。数字产业化、产业数字化、数字化治理、数据价值化等数字经济各领域稳步推进，新技术、新产业快速发展，传统产业数字化渗透加深，对经济增长的拉动作用愈加凸显，新一代信息技术对经济增长贡献率明显加大，数字经济在国民经济中地位持续提升，对全球经济的贡献持续增强，成为拉动经济增长、缓解经济下行压力、带动经济复苏的关键抓手。欧美等发达国家持续加大对5G、人工智能、量子信息等领域支持力度，产业数字化成为驱动全球数字经济发展的关键主导力量。</w:t>
      </w:r>
    </w:p>
    <w:p>
      <w:pPr>
        <w:rPr>
          <w:rFonts w:ascii="楷体_GB2312" w:hAnsi="楷体_GB2312" w:eastAsia="楷体_GB2312" w:cs="楷体_GB2312"/>
          <w:b/>
          <w:bCs/>
          <w:color w:val="auto"/>
        </w:rPr>
      </w:pPr>
      <w:r>
        <w:rPr>
          <w:rFonts w:hint="eastAsia" w:ascii="楷体_GB2312" w:hAnsi="楷体_GB2312" w:eastAsia="楷体_GB2312" w:cs="楷体_GB2312"/>
          <w:b/>
          <w:bCs/>
          <w:color w:val="auto"/>
        </w:rPr>
        <w:t>3.世界经济迈入融合发展新阶段</w:t>
      </w:r>
    </w:p>
    <w:p>
      <w:pPr>
        <w:ind w:firstLine="640"/>
        <w:rPr>
          <w:rFonts w:ascii="仿宋_GB2312" w:hAnsi="仿宋_GB2312" w:cs="仿宋_GB2312"/>
          <w:color w:val="auto"/>
          <w:szCs w:val="32"/>
        </w:rPr>
      </w:pPr>
      <w:r>
        <w:rPr>
          <w:rFonts w:hint="eastAsia" w:ascii="仿宋_GB2312" w:hAnsi="仿宋_GB2312" w:cs="仿宋_GB2312"/>
          <w:color w:val="auto"/>
        </w:rPr>
        <w:t>当前，全球经济正进入新一轮变革浪潮，人工智能、大数据、云计算、物联网等新一代信息技术正加速向经济社会各领域融合渗透，新一代信息技术加速推动经济的数字化转型和变革。以消费互联网起家的国际互联网大公司，纷纷整合新一代信息技术，抢占新一代信息技术发展先机。随着两化融合、智能融合正在引发链式突破，推动经济社会各领域深度融合。先进制造技术与新一代人工智能技术深度融合，形成了新一代智能制造，将给制造业带来根本性变革，成为制造业未来发展的主要驱动力。</w:t>
      </w:r>
    </w:p>
    <w:p>
      <w:pPr>
        <w:pStyle w:val="5"/>
        <w:rPr>
          <w:color w:val="auto"/>
        </w:rPr>
      </w:pPr>
      <w:bookmarkStart w:id="9" w:name="_Toc30553"/>
      <w:r>
        <w:rPr>
          <w:rFonts w:hint="eastAsia"/>
          <w:color w:val="auto"/>
        </w:rPr>
        <w:t>（二）国内发展现状</w:t>
      </w:r>
      <w:bookmarkEnd w:id="9"/>
    </w:p>
    <w:p>
      <w:pPr>
        <w:rPr>
          <w:rFonts w:ascii="楷体_GB2312" w:hAnsi="楷体_GB2312" w:eastAsia="楷体_GB2312" w:cs="楷体_GB2312"/>
          <w:b/>
          <w:bCs/>
          <w:color w:val="auto"/>
        </w:rPr>
      </w:pPr>
      <w:r>
        <w:rPr>
          <w:rFonts w:hint="eastAsia" w:ascii="楷体_GB2312" w:hAnsi="楷体_GB2312" w:eastAsia="楷体_GB2312" w:cs="楷体_GB2312"/>
          <w:b/>
          <w:bCs/>
          <w:color w:val="auto"/>
        </w:rPr>
        <w:t>1.产业彰显地区战略发展</w:t>
      </w:r>
    </w:p>
    <w:p>
      <w:pPr>
        <w:ind w:firstLine="640"/>
        <w:rPr>
          <w:rFonts w:ascii="仿宋_GB2312" w:hAnsi="仿宋_GB2312" w:cs="仿宋_GB2312"/>
          <w:color w:val="auto"/>
        </w:rPr>
      </w:pPr>
      <w:r>
        <w:rPr>
          <w:rFonts w:hint="eastAsia" w:ascii="仿宋_GB2312" w:hAnsi="仿宋_GB2312" w:cs="仿宋_GB2312"/>
          <w:color w:val="auto"/>
        </w:rPr>
        <w:t>《国务院关于加快培育和发展战略性新兴产业的决定》将新一代信息技术产业列为战略性新兴产业。《中共中央关于制定国民经济和社会发展第十四个五年规划和二〇三五年远景目标的建议》中明确指出，要加快壮大新一代信息技术，推动互联网、大数据、人工智能等同各产业深度融合。在“2019中国战略性新兴产业领军企业100强”榜单和分析报告指出，战略性新兴业务收入最高的是新一代信息技术产业，收入占比达54.7%。《2021中国战略性新兴产业发展报告》指出，2019年我国战略性新兴产业增加值增长8.4%，增速高于规模以上工业2.7个百分点，2019年全国战略性新兴产业规上服务业企业营收增速达到12.7%，高于同期规上全国服务业企业总体近3%。新业态、新模式不断涌现，数据成为新的生产要素，数字经济成为拉动经济增长的新引擎。</w:t>
      </w:r>
    </w:p>
    <w:p>
      <w:pPr>
        <w:rPr>
          <w:rFonts w:ascii="楷体" w:hAnsi="楷体" w:eastAsia="楷体" w:cs="楷体"/>
          <w:b/>
          <w:bCs/>
          <w:color w:val="auto"/>
        </w:rPr>
      </w:pPr>
      <w:r>
        <w:rPr>
          <w:rFonts w:hint="eastAsia" w:ascii="楷体_GB2312" w:hAnsi="楷体_GB2312" w:eastAsia="楷体_GB2312" w:cs="楷体_GB2312"/>
          <w:b/>
          <w:bCs/>
          <w:color w:val="auto"/>
        </w:rPr>
        <w:t>2.产业加速地区竞争态势</w:t>
      </w:r>
    </w:p>
    <w:p>
      <w:pPr>
        <w:ind w:firstLine="640"/>
        <w:rPr>
          <w:rFonts w:ascii="仿宋_GB2312" w:hAnsi="仿宋_GB2312" w:cs="仿宋_GB2312"/>
          <w:color w:val="auto"/>
        </w:rPr>
      </w:pPr>
      <w:r>
        <w:rPr>
          <w:rFonts w:hint="eastAsia" w:ascii="仿宋_GB2312" w:hAnsi="仿宋_GB2312" w:cs="仿宋_GB2312"/>
          <w:color w:val="auto"/>
        </w:rPr>
        <w:t>当前，制造业呈现出数字化、网络化、智能化发展趋势，智能制造涌现发展新技术，催生新业态。2020年，国家发展改革委、科技部、工业和信息化部、财政部等四部门联合印发的《关于扩大战略性新兴产业投资培育壮大新增长点增长极的指导意见》，将聚焦新一代信息技术产业等8大战略性新兴产业培育新的投资增长点，推动重点产业领域加快形成规模效应。各地纷纷聚焦国家需求和产业发展需要，开展前瞻性、针对性、储备性政策研究，积极编制发展规划，推进重大项目工程开展，加大科技创新研究扶持力度，保障配套机制建设。创新科研成果产业化制度，构建产学研深度融合，加强人才队伍建设。利用信息技术优化与平衡产业结构，纷纷打造经济发育、经济成长、经济机会等新型城市名片。</w:t>
      </w:r>
    </w:p>
    <w:p>
      <w:pPr>
        <w:rPr>
          <w:rFonts w:ascii="楷体_GB2312" w:hAnsi="楷体_GB2312" w:eastAsia="楷体_GB2312" w:cs="楷体_GB2312"/>
          <w:b/>
          <w:bCs/>
          <w:color w:val="auto"/>
        </w:rPr>
      </w:pPr>
      <w:r>
        <w:rPr>
          <w:rFonts w:hint="eastAsia" w:ascii="楷体_GB2312" w:hAnsi="楷体_GB2312" w:eastAsia="楷体_GB2312" w:cs="楷体_GB2312"/>
          <w:b/>
          <w:bCs/>
          <w:color w:val="auto"/>
        </w:rPr>
        <w:t>3.产业重塑地区数字经济</w:t>
      </w:r>
    </w:p>
    <w:p>
      <w:pPr>
        <w:ind w:firstLine="640"/>
        <w:rPr>
          <w:rFonts w:ascii="仿宋_GB2312" w:hAnsi="仿宋_GB2312" w:cs="仿宋_GB2312"/>
          <w:color w:val="auto"/>
        </w:rPr>
      </w:pPr>
      <w:r>
        <w:rPr>
          <w:rFonts w:hint="eastAsia" w:ascii="仿宋_GB2312" w:hAnsi="仿宋_GB2312" w:cs="仿宋_GB2312"/>
          <w:color w:val="auto"/>
        </w:rPr>
        <w:t>当前，新一代信息技术已成为我国第一二三产业融合发展的平台和枢纽。在工业生产领域，新一代信息技术促进生产向协同化和智能化方向发展，设计、工艺、装备、管理、服务全面升级，柔性制造、网络制造、绿色制造、智能制造不断发展，基于大数据技术的精确预判、精益生产、精细管理、精准营销充分发展，生产效率、产品质量和经济效益随之获得极大提升；在服务消费领域，平台经济、分享经济、体验经济发展迅速。现代物流、在线金融服务、数据资源支撑等配套电子商务要素不断完善，基于自媒体、网络直播、社交网络、微视频等新型传播手段的商业模式创新不断涌现，数字经济发展迎来难得历史机遇。根据中国信息通信研究院统计，其中工业互联网、智能交通等领域增速较快。2020年，我国数字经济在逆势中加速腾飞，总规模达到39.2万亿元，较上年增加3.3万亿元，占GDP比重为38.6%，占比同比提升2.4个百分点。</w:t>
      </w:r>
    </w:p>
    <w:p>
      <w:pPr>
        <w:pStyle w:val="4"/>
        <w:ind w:firstLine="640"/>
        <w:rPr>
          <w:color w:val="auto"/>
        </w:rPr>
      </w:pPr>
      <w:bookmarkStart w:id="10" w:name="_Toc22551"/>
      <w:r>
        <w:rPr>
          <w:rFonts w:hint="eastAsia"/>
          <w:color w:val="auto"/>
        </w:rPr>
        <w:t>二、发展基础</w:t>
      </w:r>
      <w:bookmarkEnd w:id="10"/>
    </w:p>
    <w:p>
      <w:pPr>
        <w:pStyle w:val="5"/>
        <w:rPr>
          <w:color w:val="auto"/>
        </w:rPr>
      </w:pPr>
      <w:bookmarkStart w:id="11" w:name="_Toc11549"/>
      <w:r>
        <w:rPr>
          <w:rFonts w:hint="eastAsia"/>
          <w:color w:val="auto"/>
        </w:rPr>
        <w:t>（一）发展现状</w:t>
      </w:r>
      <w:bookmarkEnd w:id="11"/>
    </w:p>
    <w:p>
      <w:pPr>
        <w:rPr>
          <w:rFonts w:ascii="楷体" w:hAnsi="楷体" w:eastAsia="楷体" w:cs="楷体"/>
          <w:b/>
          <w:bCs/>
          <w:color w:val="auto"/>
        </w:rPr>
      </w:pPr>
      <w:r>
        <w:rPr>
          <w:rFonts w:hint="eastAsia" w:ascii="楷体_GB2312" w:hAnsi="楷体_GB2312" w:eastAsia="楷体_GB2312" w:cs="楷体_GB2312"/>
          <w:b/>
          <w:bCs/>
          <w:color w:val="auto"/>
        </w:rPr>
        <w:t>1.产业规模大幅增长，产业结构持续优化</w:t>
      </w:r>
    </w:p>
    <w:p>
      <w:pPr>
        <w:ind w:firstLine="640"/>
        <w:rPr>
          <w:rFonts w:ascii="仿宋_GB2312" w:hAnsi="仿宋_GB2312" w:cs="仿宋_GB2312"/>
          <w:color w:val="auto"/>
        </w:rPr>
      </w:pPr>
      <w:r>
        <w:rPr>
          <w:rFonts w:hint="eastAsia" w:ascii="仿宋_GB2312" w:hAnsi="仿宋_GB2312" w:cs="仿宋_GB2312"/>
          <w:color w:val="auto"/>
        </w:rPr>
        <w:t>郑州市集中了全省40%以上的高新技术企业、50%以上的成果转移转化，带动了智能终端、智能装备制造、信息安全、智能传感器等领域高新技术产业快速发展。郑州现有规模以上电子信息制造企业超230家；经认证的软件企业超400家，占全省软件企业总数的80%以上。2020年全市电子信息规模超4000亿元，是全国领先的电子信息产业制造基地、全球重要的智能终端（手机）产业基地；软件和信息服务业产值约为450亿元。“十三五”期间，郑州一方面依托手机终端制造壮大新型显示、智能传感器等相关配套产业；另一方面在软件和信息服务方面大举发力，在大数据、北斗导航、信息安全等领域初具规模，形成了河南国家级大数据综合试验区的核心区、全国北斗应用技术产业知名品牌创建示范区、河南省信息安全产业示范基地等品牌。区块链领域已有产业基础，截至2020年底，全市接链工业企业总数已达2837家。</w:t>
      </w:r>
    </w:p>
    <w:p>
      <w:pPr>
        <w:ind w:firstLine="640"/>
        <w:rPr>
          <w:rFonts w:ascii="仿宋" w:hAnsi="仿宋" w:cs="仿宋"/>
          <w:color w:val="auto"/>
        </w:rPr>
      </w:pPr>
      <w:r>
        <w:rPr>
          <w:rFonts w:hint="eastAsia" w:ascii="仿宋_GB2312" w:hAnsi="仿宋_GB2312" w:cs="仿宋_GB2312"/>
          <w:bCs/>
          <w:color w:val="auto"/>
        </w:rPr>
        <w:t>产业结构不断优化，</w:t>
      </w:r>
      <w:r>
        <w:rPr>
          <w:rFonts w:hint="eastAsia" w:ascii="仿宋_GB2312" w:hAnsi="仿宋_GB2312" w:cs="仿宋_GB2312"/>
          <w:color w:val="auto"/>
        </w:rPr>
        <w:t>新兴产业集群逐步替代传统产业集群，工业产业发展质量持续向好。2020年，规模以上工业增加值增长6.1%、工业投资增长20.9%，其中高技术制造业投资增长52.6%。战略性新兴产业比重达38.8%、提高8.1个百分点；高技术产业增加值占比33.3%、提高6.4个百分点；电子信息产业发展迅速，销售产值占主导产业的比重达到51.9%；制造业服务化加快，以信息传输软件和信息服务业、科学研究和技术服务业为代表的高技术制造服务业等增加值拉动GDP增长效果明显。工业互联网建设全省领先，河南移动等8家企业先后入选省级工业互联网平台培育单位，中机六院成功中标国家级工业互联网创新应用推广中心项目，智业科技获评国家级工业互联网APP优秀解决方案。企业上云加速推进，开展了万家企业上云计划，截至2020年，全市超过3.2万家企业开展了上云业务，先后培育了20家省级企业上云服务商，占全省91%。车联网与智能交通建设稳步推进，开展了出租汽车服务管理信息系统、5G+自动驾驶网联应用等试点工程，构建了重要节点的一体化监测体系，基本实现了对全市营运车辆位置信息的实时监控、公共交通客流的动态监测与评估、重要节点的实时视频监控。</w:t>
      </w:r>
    </w:p>
    <w:p>
      <w:pPr>
        <w:rPr>
          <w:rFonts w:ascii="楷体_GB2312" w:hAnsi="楷体_GB2312" w:eastAsia="楷体_GB2312" w:cs="楷体_GB2312"/>
          <w:b/>
          <w:bCs/>
          <w:color w:val="auto"/>
        </w:rPr>
      </w:pPr>
      <w:r>
        <w:rPr>
          <w:rFonts w:hint="eastAsia" w:ascii="楷体_GB2312" w:hAnsi="楷体_GB2312" w:eastAsia="楷体_GB2312" w:cs="楷体_GB2312"/>
          <w:b/>
          <w:bCs/>
          <w:color w:val="auto"/>
        </w:rPr>
        <w:t>2.支撑产业聚集成势，优势产业特色凸显</w:t>
      </w:r>
    </w:p>
    <w:p>
      <w:pPr>
        <w:ind w:firstLine="640"/>
        <w:rPr>
          <w:rFonts w:ascii="仿宋_GB2312" w:hAnsi="仿宋_GB2312" w:cs="仿宋_GB2312"/>
          <w:color w:val="auto"/>
        </w:rPr>
      </w:pPr>
      <w:r>
        <w:rPr>
          <w:rFonts w:hint="eastAsia" w:ascii="仿宋_GB2312" w:hAnsi="仿宋_GB2312" w:cs="仿宋_GB2312"/>
          <w:color w:val="auto"/>
        </w:rPr>
        <w:t>郑州市电子信息产业目前主要集中在高新区、金水区、郑东新区、航空港区和新郑市。高新区集聚全省主要的骨干软件企业和动漫企业、网络企业、电子商务企业，建成了“全国北斗应用技术产业知名品牌创建示范区”、天健湖智联网产业园，智能传感器也初具规模。金水区集聚信大捷安、山谷网安、中科安永、拓普网络等信息安全产业优势企业，建成了河南省信息安全产业示范基地，信息安全产业快速发展，2020年产值突破百亿。郑东新区作为大数据综合试验区的核心区，集聚华为、浪潮、IBM、猪八戒等一批大数据领军企业，涵盖了大数据基础层、支撑层和应用层三大圈层。航空港区以富士康科技园为主年产手机近2亿部，同时依托终端产业基础引进华锐、合晶等配套企业，终端配套产业形成一定的产业基础。新郑市紧邻航空港区，加快“屏”、“芯”产业布局，近两年引进亚利韦智能可穿戴设备、达维多ICT产业基地等项目，产业集聚初显雏形。</w:t>
      </w:r>
    </w:p>
    <w:p>
      <w:pPr>
        <w:ind w:firstLine="640"/>
        <w:rPr>
          <w:rFonts w:ascii="仿宋" w:hAnsi="仿宋" w:cs="仿宋"/>
          <w:color w:val="auto"/>
        </w:rPr>
      </w:pPr>
      <w:r>
        <w:rPr>
          <w:rFonts w:hint="eastAsia" w:ascii="仿宋_GB2312" w:hAnsi="仿宋_GB2312" w:cs="仿宋_GB2312"/>
          <w:color w:val="auto"/>
        </w:rPr>
        <w:t>数字经济发展成效显著，启迪科服总部落户郑州，阿里巴巴、中国电子、紫光集团在郑落地，软通动力、海康威视等龙头企业和中科院过程所等科研机构顺利入驻，新华三智慧计算终端全球总部基地、中国长城（郑州）自主创新基地等重大项目开工建设，鲲鹏生态软件小镇初具规模。建成国家超级计算郑州中心、中原鲲鹏生态创新中心。国家大数据综试区核心区实现产值300亿元。下一代信息网络、信息技术服务入选国家第一批战略性新兴产业集群名单。城市大脑一、二期建成投用，智慧交通、智慧城管、智慧医疗等14个领域118个应用场景上线运行。</w:t>
      </w:r>
    </w:p>
    <w:p>
      <w:pPr>
        <w:rPr>
          <w:rFonts w:ascii="楷体_GB2312" w:hAnsi="楷体_GB2312" w:eastAsia="楷体_GB2312" w:cs="楷体_GB2312"/>
          <w:b/>
          <w:bCs/>
          <w:color w:val="auto"/>
        </w:rPr>
      </w:pPr>
      <w:r>
        <w:rPr>
          <w:rFonts w:hint="eastAsia" w:ascii="楷体_GB2312" w:hAnsi="楷体_GB2312" w:eastAsia="楷体_GB2312" w:cs="楷体_GB2312"/>
          <w:b/>
          <w:bCs/>
          <w:color w:val="auto"/>
        </w:rPr>
        <w:t>3.人才培养成效显著，创新体系逐步形成</w:t>
      </w:r>
    </w:p>
    <w:p>
      <w:pPr>
        <w:ind w:firstLine="640"/>
        <w:rPr>
          <w:rFonts w:ascii="仿宋_GB2312" w:hAnsi="仿宋_GB2312" w:cs="仿宋_GB2312"/>
          <w:color w:val="auto"/>
        </w:rPr>
      </w:pPr>
      <w:r>
        <w:rPr>
          <w:rFonts w:hint="eastAsia" w:ascii="仿宋_GB2312" w:hAnsi="仿宋_GB2312" w:cs="仿宋_GB2312"/>
          <w:color w:val="auto"/>
        </w:rPr>
        <w:t>郑州市国家自主创新示范区建设稳步推进，确立了“一区四园多点”的整体框架，核心区“高新区”体制机制改革取得重大突破，形成了支持新一代信息技术新模式、新业态发展的自主创新能力。健全完善人才引育、投入、流动、激励、评价机制，“智汇郑州”人才工程获评“全国人才工作最佳案例”，五年累计引进境内外高层次人才1042名，顶尖人才88名,其中两院院士22名、境外高层次人才84名、项目团队413个，吸引100多万青年人才来郑创新创业。</w:t>
      </w:r>
    </w:p>
    <w:p>
      <w:pPr>
        <w:ind w:firstLine="640"/>
        <w:rPr>
          <w:rFonts w:ascii="仿宋" w:hAnsi="仿宋" w:cs="仿宋"/>
          <w:color w:val="auto"/>
        </w:rPr>
      </w:pPr>
      <w:r>
        <w:rPr>
          <w:rFonts w:hint="eastAsia" w:ascii="仿宋_GB2312" w:hAnsi="仿宋_GB2312" w:cs="仿宋_GB2312"/>
          <w:color w:val="auto"/>
        </w:rPr>
        <w:t>2020年，郑州市获得国家技术发明奖1项、科技进步奖5项，占全省40%。“十三五”期间，获省级科学技术奖920项、国家奖32项，占全省的56%；引进培育各类新型研发机构43个，新认定院士工作站11家，培育国家企业技术中心3家，浙江大学、中科院微电子所、中科院苏州医工所在郑建立新型研发机构。2020年，全社会研发投入增长16.8%，投入强度超过2%；新增高新技术企业870家，累计达到2918家；万人发明专利拥有量18.2件，新增中科院计算所大数据研究院、郑州计量先进技术研究院等省级重大新型研发机构3家。技术合同成交额突破200亿元、增长55%。累计建成各类研发平台3547个，其中国家级56个、省级1297个，新增国家级众创空间11家、科技企业孵化器3家。大力开展创新创业赛事活动，其中“郑创汇”举办5届40余场大赛，UU跑腿、伊啦看书等一批项目在大赛中脱颖而出。</w:t>
      </w:r>
    </w:p>
    <w:p>
      <w:pPr>
        <w:rPr>
          <w:rFonts w:ascii="楷体_GB2312" w:hAnsi="楷体_GB2312" w:eastAsia="楷体_GB2312" w:cs="楷体_GB2312"/>
          <w:b/>
          <w:bCs/>
          <w:color w:val="auto"/>
        </w:rPr>
      </w:pPr>
      <w:r>
        <w:rPr>
          <w:rFonts w:hint="eastAsia" w:ascii="楷体_GB2312" w:hAnsi="楷体_GB2312" w:eastAsia="楷体_GB2312" w:cs="楷体_GB2312"/>
          <w:b/>
          <w:bCs/>
          <w:color w:val="auto"/>
        </w:rPr>
        <w:t>4.政策体系日趋完善，协调发展机制形成</w:t>
      </w:r>
    </w:p>
    <w:p>
      <w:pPr>
        <w:ind w:firstLine="640"/>
        <w:rPr>
          <w:rFonts w:ascii="仿宋" w:hAnsi="仿宋" w:cs="仿宋"/>
          <w:color w:val="auto"/>
        </w:rPr>
      </w:pPr>
      <w:r>
        <w:rPr>
          <w:rFonts w:hint="eastAsia" w:ascii="仿宋_GB2312" w:hAnsi="仿宋_GB2312" w:cs="仿宋_GB2312"/>
          <w:color w:val="auto"/>
        </w:rPr>
        <w:t>为加快新一代信息技术产业发展，进一步完善新一代信息技术支持政策，近年来，郑州市出台实施了《信息化发展“十三五”规划》《郑州市智能传感器产业2019年推进专案》《郑州市加快数字经济发展实施方案（2020—2022年）》《郑州市智能制造和工业互联网发展三年行动计划(2018—2020年)》《郑州市制造业高质量发展三年行动计划（2020-2022年）》《郑州市电子信息产业升级三年行动计划（2020-2022年）》《郑州市加快5G网络建设和产业发展三年行动计划(2020—2022年)》《郑州市数字经济发展规划(2020-2025)》《郑州市建设中国制造强市若干政策》《郑州市人民政府关于促进大数据产业发展的若干意见》《关于加快推进跨境电子商务发展的实施意见》《关于加快推进郑州国家自主创新示范区建设的若干政策意见》《关于全面加快科技创新推动经济高质量发展的若干意见》《关于实施“黄河人才计划”加快建设人才强市的意见》等一系列支持新一代信息技术发展的政策。郑州市对新一代信息技术领域平台建设、技术研发、技术改造、融合发展、项目建设、土地供应、人才引进等方面财政支持力度不断加大，为全市新一代信息技术发展提供了良好环境，创造了有利的发展条件。全球电子信息500强企业、国内电子信息百强企业、国内外上市电子信息企业陆续在郑州市设立研发中心、分公司或地区总部。郑州市“智慧城市”建设、高新区“人工智能”成功列入科技部“百城百园”工作城市和园区。</w:t>
      </w:r>
    </w:p>
    <w:p>
      <w:pPr>
        <w:rPr>
          <w:rFonts w:ascii="楷体_GB2312" w:hAnsi="楷体_GB2312" w:eastAsia="楷体_GB2312" w:cs="楷体_GB2312"/>
          <w:b/>
          <w:bCs/>
          <w:color w:val="auto"/>
        </w:rPr>
      </w:pPr>
      <w:r>
        <w:rPr>
          <w:rFonts w:hint="eastAsia" w:ascii="楷体_GB2312" w:hAnsi="楷体_GB2312" w:eastAsia="楷体_GB2312" w:cs="楷体_GB2312"/>
          <w:b/>
          <w:bCs/>
          <w:color w:val="auto"/>
        </w:rPr>
        <w:t>5.基础设施进程加速，配套保障不断升级</w:t>
      </w:r>
    </w:p>
    <w:p>
      <w:pPr>
        <w:ind w:firstLine="640"/>
        <w:rPr>
          <w:rFonts w:ascii="仿宋_GB2312" w:hAnsi="仿宋_GB2312" w:cs="仿宋_GB2312"/>
          <w:color w:val="auto"/>
        </w:rPr>
      </w:pPr>
      <w:r>
        <w:rPr>
          <w:rFonts w:hint="eastAsia" w:ascii="仿宋_GB2312" w:hAnsi="仿宋_GB2312" w:cs="仿宋_GB2312"/>
          <w:color w:val="auto"/>
        </w:rPr>
        <w:t>郑州市将新型基础设施作为重要的公共基础设施，促进经济社会可持续发展的基础性、先导性和战略性工程，大力推进5G、人工智能、工业互联网、物联网、大数据、云计算等新型基础设施建设，建成5G基站1.8万个，实现市区、县城5G全覆盖，5G建设规模位居全国主要城市前列。郑州是全国重要的通讯枢纽和数据交换中心。截至2020年底，郑州已建成超大型数据中心2个、大型数据中心1个、中小型数据中心16个，规划机架数量超过10万个，在建的上汽集团云计算（郑州）数据中心是目前汽车行业最大、最先进的云数据中心。</w:t>
      </w:r>
    </w:p>
    <w:p>
      <w:pPr>
        <w:ind w:firstLine="640"/>
        <w:rPr>
          <w:rFonts w:ascii="仿宋_GB2312" w:hAnsi="仿宋_GB2312" w:cs="仿宋_GB2312"/>
          <w:color w:val="auto"/>
          <w:szCs w:val="30"/>
        </w:rPr>
      </w:pPr>
      <w:r>
        <w:rPr>
          <w:rFonts w:hint="eastAsia" w:ascii="仿宋_GB2312" w:hAnsi="仿宋_GB2312" w:cs="仿宋_GB2312"/>
          <w:color w:val="auto"/>
        </w:rPr>
        <w:t>在数据存储方面，中国联通中原数据基地、中国移动（河南）数据中心、中国电信郑州数据中心、阿里云计算及数据处理中心的建设，具备较强的数据支撑能力。在数据传输方面，2020年国家级互联网骨干直联点网间互联带宽达到1260G，总带宽全国第3位，通信运营商互通带宽全国第一。阿里巴巴、腾讯、百度、奇虎360等知名互联网企业均在郑州设有大型数据中心或关键业务节点。在数据计算方面，国家超级计算郑州中心已通过科技部验收，峰值计算能力100PFlops，存储100PB，主机系统实测持续计算性能居国际同期前列。郑州全国通信网络交换枢纽地位进一步确立，初步具备了宽带、融合、安全、泛在的通信信息网络基础设施，对推动云计算、物联网、大数据、移动互联网、电子商务等新兴产业集聚发展起到了坚强的支撑作用。</w:t>
      </w:r>
    </w:p>
    <w:p>
      <w:pPr>
        <w:pStyle w:val="5"/>
        <w:rPr>
          <w:color w:val="auto"/>
        </w:rPr>
      </w:pPr>
      <w:bookmarkStart w:id="12" w:name="_Toc28538"/>
      <w:r>
        <w:rPr>
          <w:rFonts w:hint="eastAsia"/>
          <w:color w:val="auto"/>
        </w:rPr>
        <w:t>（二）存在不足</w:t>
      </w:r>
      <w:bookmarkEnd w:id="12"/>
    </w:p>
    <w:p>
      <w:pPr>
        <w:rPr>
          <w:rFonts w:ascii="楷体" w:hAnsi="楷体" w:eastAsia="楷体" w:cs="楷体"/>
          <w:b/>
          <w:bCs/>
          <w:color w:val="auto"/>
        </w:rPr>
      </w:pPr>
      <w:r>
        <w:rPr>
          <w:rFonts w:hint="eastAsia" w:ascii="楷体_GB2312" w:hAnsi="楷体_GB2312" w:eastAsia="楷体_GB2312" w:cs="楷体_GB2312"/>
          <w:b/>
          <w:bCs/>
          <w:color w:val="auto"/>
        </w:rPr>
        <w:t>1.产业结构不够合理，重点领域支撑能力弱</w:t>
      </w:r>
    </w:p>
    <w:p>
      <w:pPr>
        <w:ind w:firstLine="640"/>
        <w:rPr>
          <w:rFonts w:ascii="仿宋" w:hAnsi="仿宋" w:cs="仿宋"/>
          <w:color w:val="auto"/>
        </w:rPr>
      </w:pPr>
      <w:r>
        <w:rPr>
          <w:rFonts w:hint="eastAsia" w:ascii="仿宋_GB2312" w:hAnsi="仿宋_GB2312" w:cs="仿宋_GB2312"/>
          <w:color w:val="auto"/>
        </w:rPr>
        <w:t>郑州市信息产业技术基础薄弱、服务体系不健全等问题依然突出，产业链竞争力较弱，上下游产业之间协同发展水平较低，企业间配套能力较弱。以富士康为代表的电子信息产品制造业规模较大，但配套软件和信息服务能力相对不足，品牌效应不强，国际国内有影响力的品牌欠缺。</w:t>
      </w:r>
    </w:p>
    <w:p>
      <w:pPr>
        <w:rPr>
          <w:rFonts w:ascii="楷体" w:hAnsi="楷体" w:eastAsia="楷体" w:cs="楷体"/>
          <w:b/>
          <w:bCs/>
          <w:color w:val="auto"/>
        </w:rPr>
      </w:pPr>
      <w:r>
        <w:rPr>
          <w:rFonts w:hint="eastAsia" w:ascii="楷体_GB2312" w:hAnsi="楷体_GB2312" w:eastAsia="楷体_GB2312" w:cs="楷体_GB2312"/>
          <w:b/>
          <w:bCs/>
          <w:color w:val="auto"/>
        </w:rPr>
        <w:t>2.创新水平有待提升，核心领域竞争力不强</w:t>
      </w:r>
      <w:r>
        <w:rPr>
          <w:rFonts w:hint="eastAsia" w:ascii="楷体" w:hAnsi="楷体" w:eastAsia="楷体" w:cs="楷体"/>
          <w:b/>
          <w:bCs/>
          <w:color w:val="auto"/>
        </w:rPr>
        <w:t xml:space="preserve"> </w:t>
      </w:r>
    </w:p>
    <w:p>
      <w:pPr>
        <w:ind w:firstLine="640"/>
        <w:rPr>
          <w:rFonts w:ascii="仿宋_GB2312" w:hAnsi="仿宋_GB2312" w:cs="仿宋_GB2312"/>
          <w:color w:val="auto"/>
        </w:rPr>
      </w:pPr>
      <w:r>
        <w:rPr>
          <w:rFonts w:hint="eastAsia" w:ascii="仿宋_GB2312" w:hAnsi="仿宋_GB2312" w:cs="仿宋_GB2312"/>
          <w:color w:val="auto"/>
        </w:rPr>
        <w:t>近年来，尽管郑州市在科技创新领域持续加大投入，并取得了积极成果，但是，当前科技创新主体仍然以高校和科研院所为主，传统工业企业、生产制造业企业对科技创新重视与参与程度显著不够，在科技创新、研发领域投资力度不强，科技创新成果转化率不高，重大原创性成果缺乏，底层基础技术、基础工艺能力不足等短板都需要继续补齐。</w:t>
      </w:r>
    </w:p>
    <w:p>
      <w:pPr>
        <w:rPr>
          <w:rFonts w:ascii="楷体" w:hAnsi="楷体" w:eastAsia="楷体" w:cs="楷体"/>
          <w:b/>
          <w:bCs/>
          <w:color w:val="auto"/>
        </w:rPr>
      </w:pPr>
      <w:r>
        <w:rPr>
          <w:rFonts w:hint="eastAsia" w:ascii="楷体_GB2312" w:hAnsi="楷体_GB2312" w:eastAsia="楷体_GB2312" w:cs="楷体_GB2312"/>
          <w:b/>
          <w:bCs/>
          <w:color w:val="auto"/>
        </w:rPr>
        <w:t>3.高端研发机构缺乏，中高端人才储备不足</w:t>
      </w:r>
    </w:p>
    <w:p>
      <w:pPr>
        <w:ind w:firstLine="640"/>
        <w:rPr>
          <w:rFonts w:ascii="仿宋" w:hAnsi="仿宋" w:cs="仿宋"/>
          <w:color w:val="auto"/>
        </w:rPr>
      </w:pPr>
      <w:r>
        <w:rPr>
          <w:rFonts w:hint="eastAsia" w:ascii="仿宋_GB2312" w:hAnsi="仿宋_GB2312" w:cs="仿宋_GB2312"/>
          <w:color w:val="auto"/>
        </w:rPr>
        <w:t>近年来，我市积极培育和引进创新平台、创新机构和创新人才，但人工智能、5G、区块链、量子信息等前沿新兴技术领域的高层次研究机构缺乏，高端创新资源集聚不够，高精尖人才短缺情况依然突出。要实现产业高质量发展，必须大力引进和培育国家级研发平台、科研院所等高层次研发机构，大力实施人才强市战略，加快建设与新一代信息技术产业发展要求相适应的高端人才队伍。</w:t>
      </w:r>
    </w:p>
    <w:p>
      <w:pPr>
        <w:rPr>
          <w:rFonts w:ascii="楷体_GB2312" w:hAnsi="楷体_GB2312" w:eastAsia="楷体_GB2312" w:cs="楷体_GB2312"/>
          <w:b/>
          <w:bCs/>
          <w:color w:val="auto"/>
        </w:rPr>
      </w:pPr>
      <w:r>
        <w:rPr>
          <w:rFonts w:hint="eastAsia" w:ascii="楷体_GB2312" w:hAnsi="楷体_GB2312" w:eastAsia="楷体_GB2312" w:cs="楷体_GB2312"/>
          <w:b/>
          <w:bCs/>
          <w:color w:val="auto"/>
        </w:rPr>
        <w:t>4.龙头领军企业偏少，融通发展格局未形成</w:t>
      </w:r>
    </w:p>
    <w:p>
      <w:pPr>
        <w:ind w:firstLine="640"/>
        <w:rPr>
          <w:rFonts w:ascii="仿宋_GB2312" w:hAnsi="仿宋_GB2312" w:cs="仿宋_GB2312"/>
          <w:color w:val="auto"/>
        </w:rPr>
      </w:pPr>
      <w:r>
        <w:rPr>
          <w:rFonts w:hint="eastAsia" w:ascii="仿宋_GB2312" w:hAnsi="仿宋_GB2312" w:cs="仿宋_GB2312"/>
          <w:color w:val="auto"/>
        </w:rPr>
        <w:t>郑州市一直高度重视产业领军骨干企业的引进培育，但在大数据、北斗导航、人工智能、区块链等新一代信息技术核心领域真正拥有核心技术和较强市场竞争力的知名龙头企业偏少，尚未形成大中小企业融通发展局面。为此，必须通过聚焦产业核心领域，围绕供应链整合、创新能力共享等关键环节，发挥大企业引领支撑作用，优化融通发展环境，营造大中小企业融通发展的产业生态。</w:t>
      </w:r>
    </w:p>
    <w:p>
      <w:pPr>
        <w:ind w:firstLine="640"/>
        <w:rPr>
          <w:rFonts w:ascii="仿宋_GB2312" w:hAnsi="仿宋_GB2312" w:cs="仿宋_GB2312"/>
          <w:color w:val="auto"/>
        </w:rPr>
      </w:pPr>
      <w:r>
        <w:rPr>
          <w:rFonts w:hint="eastAsia" w:ascii="仿宋_GB2312" w:hAnsi="仿宋_GB2312" w:cs="仿宋_GB2312"/>
          <w:color w:val="auto"/>
        </w:rPr>
        <w:t>总体来看，郑州市信息产业链体系尚不完整，尤其是新兴产业链高端环节尚未形成具备重大影响力的核心竞争力，产业集聚和创新发展能力有待进一步提升。</w:t>
      </w:r>
    </w:p>
    <w:p>
      <w:pPr>
        <w:pStyle w:val="4"/>
        <w:ind w:firstLine="640"/>
        <w:rPr>
          <w:color w:val="auto"/>
        </w:rPr>
      </w:pPr>
      <w:bookmarkStart w:id="13" w:name="_Toc11909"/>
      <w:r>
        <w:rPr>
          <w:rFonts w:hint="eastAsia"/>
          <w:color w:val="auto"/>
        </w:rPr>
        <w:t>三、总体思路</w:t>
      </w:r>
      <w:bookmarkEnd w:id="13"/>
    </w:p>
    <w:p>
      <w:pPr>
        <w:pStyle w:val="5"/>
        <w:rPr>
          <w:color w:val="auto"/>
        </w:rPr>
      </w:pPr>
      <w:bookmarkStart w:id="14" w:name="_Toc16306"/>
      <w:r>
        <w:rPr>
          <w:rFonts w:hint="eastAsia"/>
          <w:color w:val="auto"/>
        </w:rPr>
        <w:t>（一）指导思想</w:t>
      </w:r>
      <w:bookmarkEnd w:id="14"/>
    </w:p>
    <w:p>
      <w:pPr>
        <w:ind w:firstLine="640"/>
        <w:rPr>
          <w:rFonts w:ascii="仿宋" w:hAnsi="仿宋" w:cs="仿宋"/>
          <w:color w:val="auto"/>
          <w:szCs w:val="32"/>
        </w:rPr>
      </w:pPr>
      <w:r>
        <w:rPr>
          <w:rFonts w:hint="eastAsia" w:ascii="仿宋_GB2312" w:hAnsi="仿宋_GB2312" w:cs="仿宋_GB2312"/>
          <w:color w:val="auto"/>
        </w:rPr>
        <w:t>以习近平新时代中国特色社会主义思想为指导，全面贯彻党的十九大和十九届二中、三中、四中、五中全会精神，落实习近平总书记视察河南、郑州时的重要指示精神，坚持新发展理念，坚持推动高质量发展，实施数字化转型战略，构建新型数字基础设施体系，发展数字核心产业，推进数智赋能，在未来产业上前瞻布局，在新兴产业上抢滩占先，在传统产业上高位嫁接，在生态圈层上培土奠基。围绕建设制造强市和网络强市目标，聚焦新一代信息技术产业链关键环节，以自主创新为核心，以电子信息制造为基础，加速信息安全、大数据、软件和信息服务业的产业集聚，加快云计算、物联网、5G、北斗导航、人工智能、区块链的产业部署，统筹推进集成电路、新型互联网、新型无线通信、虚拟现实、数字创意等领域产业培育，全方位加强新一代信息技术的融合应用，构建新一代信息技术全产业链生态体系，积极建设国内有影响的产业大数据中心、超算中心、数字创意中心、智能终端制造基地，全力</w:t>
      </w:r>
      <w:r>
        <w:rPr>
          <w:rFonts w:hint="eastAsia"/>
          <w:color w:val="auto"/>
          <w:kern w:val="0"/>
          <w:szCs w:val="32"/>
        </w:rPr>
        <w:t>打造</w:t>
      </w:r>
      <w:r>
        <w:rPr>
          <w:rFonts w:hint="eastAsia" w:ascii="仿宋_GB2312" w:hAnsi="仿宋_GB2312" w:cs="仿宋_GB2312"/>
          <w:color w:val="auto"/>
          <w:kern w:val="0"/>
          <w:szCs w:val="32"/>
        </w:rPr>
        <w:t>“</w:t>
      </w:r>
      <w:r>
        <w:rPr>
          <w:color w:val="auto"/>
          <w:kern w:val="0"/>
          <w:szCs w:val="32"/>
        </w:rPr>
        <w:t>1号产业</w:t>
      </w:r>
      <w:r>
        <w:rPr>
          <w:rFonts w:hint="eastAsia" w:ascii="仿宋_GB2312" w:hAnsi="仿宋_GB2312" w:cs="仿宋_GB2312"/>
          <w:color w:val="auto"/>
          <w:kern w:val="0"/>
          <w:szCs w:val="32"/>
        </w:rPr>
        <w:t>”</w:t>
      </w:r>
      <w:r>
        <w:rPr>
          <w:color w:val="auto"/>
          <w:kern w:val="0"/>
          <w:szCs w:val="32"/>
        </w:rPr>
        <w:t>，</w:t>
      </w:r>
      <w:r>
        <w:rPr>
          <w:rFonts w:hint="eastAsia"/>
          <w:color w:val="auto"/>
          <w:szCs w:val="32"/>
        </w:rPr>
        <w:t>将新一代信息技术产业打造成为郑州市的地标性产业，</w:t>
      </w:r>
      <w:r>
        <w:rPr>
          <w:rFonts w:hint="eastAsia" w:ascii="仿宋_GB2312" w:hAnsi="仿宋_GB2312" w:cs="仿宋_GB2312"/>
          <w:color w:val="auto"/>
        </w:rPr>
        <w:t>为郑州市建设现代化国家中心城市提供坚实的产业支撑。</w:t>
      </w:r>
    </w:p>
    <w:p>
      <w:pPr>
        <w:pStyle w:val="5"/>
        <w:rPr>
          <w:color w:val="auto"/>
        </w:rPr>
      </w:pPr>
      <w:bookmarkStart w:id="15" w:name="_Toc16176"/>
      <w:r>
        <w:rPr>
          <w:rFonts w:hint="eastAsia"/>
          <w:color w:val="auto"/>
        </w:rPr>
        <w:t>（二）发展原则</w:t>
      </w:r>
      <w:bookmarkEnd w:id="15"/>
    </w:p>
    <w:p>
      <w:pPr>
        <w:rPr>
          <w:rFonts w:ascii="仿宋_GB2312" w:hAnsi="仿宋_GB2312" w:cs="仿宋_GB2312"/>
          <w:color w:val="auto"/>
        </w:rPr>
      </w:pPr>
      <w:r>
        <w:rPr>
          <w:rFonts w:hint="eastAsia" w:ascii="楷体_GB2312" w:hAnsi="楷体_GB2312" w:eastAsia="楷体_GB2312" w:cs="楷体_GB2312"/>
          <w:b/>
          <w:bCs/>
          <w:color w:val="auto"/>
        </w:rPr>
        <w:t>1.产业集聚，统筹布局协同推进。</w:t>
      </w:r>
      <w:r>
        <w:rPr>
          <w:rFonts w:hint="eastAsia" w:ascii="仿宋_GB2312" w:hAnsi="仿宋_GB2312" w:cs="仿宋_GB2312"/>
          <w:color w:val="auto"/>
        </w:rPr>
        <w:t>抢抓新一代信息技术产业发展机遇，梳理郑州市新一代信息技术产业图谱，整合政产学研等各方资源，加强产业系统化部署，做好顶层规划和高端设计，有序推进新一代信息技术各产业园区协同发展，搭建多层次的合作交流平台，形成特色鲜明、分布合理、优势突出的产业园区发展体系。</w:t>
      </w:r>
    </w:p>
    <w:p>
      <w:pPr>
        <w:rPr>
          <w:rFonts w:ascii="仿宋_GB2312" w:hAnsi="仿宋_GB2312" w:cs="仿宋_GB2312"/>
          <w:color w:val="auto"/>
        </w:rPr>
      </w:pPr>
      <w:r>
        <w:rPr>
          <w:rFonts w:hint="eastAsia" w:ascii="楷体_GB2312" w:hAnsi="楷体_GB2312" w:eastAsia="楷体_GB2312" w:cs="楷体_GB2312"/>
          <w:b/>
          <w:bCs/>
          <w:color w:val="auto"/>
        </w:rPr>
        <w:t>2.完善生态，重点突破跨越发展。</w:t>
      </w:r>
      <w:r>
        <w:rPr>
          <w:rFonts w:hint="eastAsia" w:ascii="仿宋_GB2312" w:hAnsi="仿宋_GB2312" w:cs="仿宋_GB2312"/>
          <w:color w:val="auto"/>
        </w:rPr>
        <w:t>集中优势资源在新一代信息技术关键技术链条等薄弱环节补齐短板，吸引国内外优质创新资源和产业资源集聚，打造开放融合的产业生态体系，构建上下游产业链协作共赢的产业格局，形成具有郑州区域特色的优势产业，带动全市新一代信息技术产业做大做强，实现重点产业跨越式发展。</w:t>
      </w:r>
    </w:p>
    <w:p>
      <w:pPr>
        <w:rPr>
          <w:rFonts w:ascii="仿宋_GB2312" w:hAnsi="仿宋_GB2312" w:cs="仿宋_GB2312"/>
          <w:color w:val="auto"/>
        </w:rPr>
      </w:pPr>
      <w:r>
        <w:rPr>
          <w:rFonts w:hint="eastAsia" w:ascii="楷体_GB2312" w:hAnsi="楷体_GB2312" w:eastAsia="楷体_GB2312" w:cs="楷体_GB2312"/>
          <w:b/>
          <w:bCs/>
          <w:color w:val="auto"/>
        </w:rPr>
        <w:t>3.创新引领，政府推动企业主导。</w:t>
      </w:r>
      <w:r>
        <w:rPr>
          <w:rFonts w:hint="eastAsia" w:ascii="仿宋_GB2312" w:hAnsi="仿宋_GB2312" w:cs="仿宋_GB2312"/>
          <w:color w:val="auto"/>
        </w:rPr>
        <w:t>强化政府引导、企业主导、政产学研用协同创新模式，吸引优质创新资源和产业资源，不断提升产业核心竞争力。构建跨领域多技术、应用融合的协同创新平台和创业集群，积极开展技术、产品、服务和商业模式创新，打造新一代信息技术创新高地。</w:t>
      </w:r>
    </w:p>
    <w:p>
      <w:pPr>
        <w:rPr>
          <w:color w:val="auto"/>
        </w:rPr>
      </w:pPr>
      <w:r>
        <w:rPr>
          <w:rFonts w:hint="eastAsia" w:ascii="楷体_GB2312" w:hAnsi="楷体_GB2312" w:eastAsia="楷体_GB2312" w:cs="楷体_GB2312"/>
          <w:b/>
          <w:bCs/>
          <w:color w:val="auto"/>
        </w:rPr>
        <w:t>4.示范应用，市场培育融合发展。</w:t>
      </w:r>
      <w:r>
        <w:rPr>
          <w:rFonts w:hint="eastAsia" w:ascii="仿宋_GB2312" w:hAnsi="仿宋_GB2312" w:cs="仿宋_GB2312"/>
          <w:color w:val="auto"/>
        </w:rPr>
        <w:t>加快新一代信息技术与郑州市重点行业融合创新发展，坚持以市场需求为导向，以典型应用场景为切入，创新业务模式，培育新市场、新模式、新业态，形成一批示范应用案例。通过技术创新、产品研发和应用示范，积极探索和推进新一代信息技术向传统产业渗透融合共赢发展的新格局。</w:t>
      </w:r>
    </w:p>
    <w:p>
      <w:pPr>
        <w:pStyle w:val="5"/>
        <w:rPr>
          <w:color w:val="auto"/>
        </w:rPr>
      </w:pPr>
      <w:bookmarkStart w:id="16" w:name="_Toc3545"/>
      <w:r>
        <w:rPr>
          <w:rFonts w:hint="eastAsia"/>
          <w:color w:val="auto"/>
        </w:rPr>
        <w:t>（三）发展目标</w:t>
      </w:r>
      <w:bookmarkEnd w:id="16"/>
    </w:p>
    <w:p>
      <w:pPr>
        <w:rPr>
          <w:rFonts w:ascii="楷体_GB2312" w:hAnsi="楷体_GB2312" w:eastAsia="楷体_GB2312" w:cs="楷体_GB2312"/>
          <w:color w:val="auto"/>
        </w:rPr>
      </w:pPr>
      <w:r>
        <w:rPr>
          <w:rFonts w:hint="eastAsia" w:ascii="楷体_GB2312" w:hAnsi="楷体_GB2312" w:eastAsia="楷体_GB2312" w:cs="楷体_GB2312"/>
          <w:b/>
          <w:bCs/>
          <w:color w:val="auto"/>
        </w:rPr>
        <w:t>1.总体目标</w:t>
      </w:r>
    </w:p>
    <w:p>
      <w:pPr>
        <w:ind w:firstLine="640"/>
        <w:rPr>
          <w:rFonts w:hint="eastAsia" w:ascii="仿宋_GB2312" w:hAnsi="仿宋_GB2312" w:cs="仿宋_GB2312"/>
          <w:color w:val="auto"/>
        </w:rPr>
      </w:pPr>
      <w:r>
        <w:rPr>
          <w:rFonts w:hint="eastAsia" w:ascii="仿宋_GB2312" w:hAnsi="仿宋_GB2312" w:cs="仿宋_GB2312"/>
          <w:color w:val="auto"/>
        </w:rPr>
        <w:t>紧紧抓住黄河流域生态保护和高质量发展、中部地区崛起等国家战略机遇，结合郑州市 2035年“两化五强”的远景建设目标，以提高新一代信息技术创新能力为重点，以高端产业聚集和重大项目推进为依托，构建完善的产业生态体系、培育产业集群、促进产业融合，为郑州市打造全国重要先进制造业基地提供有力支撑。</w:t>
      </w:r>
    </w:p>
    <w:p>
      <w:pPr>
        <w:ind w:firstLine="640"/>
        <w:rPr>
          <w:color w:val="auto"/>
        </w:rPr>
      </w:pPr>
      <w:r>
        <w:rPr>
          <w:rFonts w:hint="eastAsia" w:ascii="仿宋_GB2312" w:hAnsi="仿宋_GB2312" w:cs="仿宋_GB2312"/>
          <w:color w:val="auto"/>
        </w:rPr>
        <w:t>力争到2025年，全市新一代信息技术产业年产值突破8000亿元，产值超1000亿的园区5家，超100亿的园区15家，全市新一代信息技术企业超过8000家，其中超亿元350家，超10亿元80家，超50亿元10-15家，超100亿的6-8家，超千亿的1-2家。</w:t>
      </w:r>
    </w:p>
    <w:p>
      <w:pPr>
        <w:rPr>
          <w:rFonts w:ascii="楷体_GB2312" w:hAnsi="楷体_GB2312" w:eastAsia="楷体_GB2312" w:cs="楷体_GB2312"/>
          <w:b/>
          <w:bCs/>
          <w:color w:val="auto"/>
        </w:rPr>
      </w:pPr>
      <w:r>
        <w:rPr>
          <w:rFonts w:hint="eastAsia" w:ascii="楷体_GB2312" w:hAnsi="楷体_GB2312" w:eastAsia="楷体_GB2312" w:cs="楷体_GB2312"/>
          <w:b/>
          <w:bCs/>
          <w:color w:val="auto"/>
        </w:rPr>
        <w:t>2.具体目标</w:t>
      </w:r>
    </w:p>
    <w:p>
      <w:pPr>
        <w:rPr>
          <w:rFonts w:ascii="仿宋_GB2312" w:hAnsi="仿宋_GB2312" w:cs="仿宋_GB2312"/>
          <w:color w:val="auto"/>
        </w:rPr>
      </w:pPr>
      <w:r>
        <w:rPr>
          <w:rFonts w:hint="eastAsia" w:ascii="仿宋_GB2312" w:hAnsi="仿宋_GB2312" w:cs="仿宋_GB2312"/>
          <w:b/>
          <w:bCs/>
          <w:color w:val="auto"/>
        </w:rPr>
        <w:t>（1）近期目标（2021—2023）</w:t>
      </w:r>
    </w:p>
    <w:p>
      <w:pPr>
        <w:rPr>
          <w:rFonts w:ascii="仿宋_GB2312" w:hAnsi="仿宋_GB2312" w:cs="仿宋_GB2312"/>
          <w:color w:val="auto"/>
        </w:rPr>
      </w:pPr>
      <w:r>
        <w:rPr>
          <w:rFonts w:hint="eastAsia" w:ascii="楷体_GB2312" w:hAnsi="楷体_GB2312" w:eastAsia="楷体_GB2312" w:cs="楷体_GB2312"/>
          <w:b/>
          <w:bCs/>
          <w:color w:val="auto"/>
        </w:rPr>
        <w:t>产业规模大幅度增长。</w:t>
      </w:r>
      <w:r>
        <w:rPr>
          <w:rFonts w:hint="eastAsia" w:ascii="仿宋_GB2312" w:hAnsi="仿宋_GB2312" w:cs="仿宋_GB2312"/>
          <w:color w:val="auto"/>
        </w:rPr>
        <w:t>到2023年，全市新一代信息技术</w:t>
      </w:r>
      <w:r>
        <w:rPr>
          <w:rFonts w:hint="eastAsia" w:ascii="仿宋_GB2312" w:hAnsi="仿宋_GB2312" w:cs="仿宋_GB2312"/>
          <w:color w:val="auto"/>
          <w:lang w:val="en-US" w:eastAsia="zh-CN"/>
        </w:rPr>
        <w:t>产业产值</w:t>
      </w:r>
      <w:r>
        <w:rPr>
          <w:rFonts w:hint="eastAsia" w:ascii="仿宋_GB2312" w:hAnsi="仿宋_GB2312" w:cs="仿宋_GB2312"/>
          <w:color w:val="auto"/>
        </w:rPr>
        <w:t>突破6000亿元。全市新一代信息技术规模以上企业超过700家，其中超1000亿企业1家，超100亿企业4-6家，超50亿元8-12家，超10亿元50家，超1亿元200家以上。</w:t>
      </w:r>
    </w:p>
    <w:p>
      <w:pPr>
        <w:rPr>
          <w:rFonts w:ascii="仿宋_GB2312" w:hAnsi="仿宋_GB2312" w:cs="仿宋_GB2312"/>
          <w:color w:val="auto"/>
        </w:rPr>
      </w:pPr>
      <w:r>
        <w:rPr>
          <w:rFonts w:hint="eastAsia" w:ascii="楷体_GB2312" w:hAnsi="楷体_GB2312" w:eastAsia="楷体_GB2312" w:cs="楷体_GB2312"/>
          <w:b/>
          <w:bCs/>
          <w:color w:val="auto"/>
        </w:rPr>
        <w:t>产业聚集进一步优化。</w:t>
      </w:r>
      <w:r>
        <w:rPr>
          <w:rFonts w:hint="eastAsia" w:ascii="仿宋_GB2312" w:hAnsi="仿宋_GB2312" w:cs="仿宋_GB2312"/>
          <w:color w:val="auto"/>
        </w:rPr>
        <w:t>到2023年，全市新一代信息技术产业园区</w:t>
      </w:r>
      <w:r>
        <w:rPr>
          <w:rFonts w:hint="eastAsia" w:ascii="仿宋_GB2312" w:hAnsi="仿宋_GB2312" w:cs="仿宋_GB2312"/>
          <w:color w:val="auto"/>
          <w:lang w:val="en-US" w:eastAsia="zh-CN"/>
        </w:rPr>
        <w:t>进一步</w:t>
      </w:r>
      <w:r>
        <w:rPr>
          <w:rFonts w:hint="eastAsia" w:ascii="仿宋_GB2312" w:hAnsi="仿宋_GB2312" w:cs="仿宋_GB2312"/>
          <w:color w:val="auto"/>
        </w:rPr>
        <w:t>提质增效，特色产业超过50%以上的园区占比</w:t>
      </w:r>
      <w:r>
        <w:rPr>
          <w:rFonts w:hint="eastAsia" w:ascii="仿宋_GB2312" w:hAnsi="仿宋_GB2312" w:cs="仿宋_GB2312"/>
          <w:color w:val="auto"/>
          <w:lang w:val="en-US" w:eastAsia="zh-CN"/>
        </w:rPr>
        <w:t>达到</w:t>
      </w:r>
      <w:r>
        <w:rPr>
          <w:rFonts w:hint="eastAsia" w:ascii="仿宋_GB2312" w:hAnsi="仿宋_GB2312" w:cs="仿宋_GB2312"/>
          <w:color w:val="auto"/>
        </w:rPr>
        <w:t>60%</w:t>
      </w:r>
      <w:r>
        <w:rPr>
          <w:rFonts w:hint="eastAsia" w:ascii="仿宋_GB2312" w:hAnsi="仿宋_GB2312" w:cs="仿宋_GB2312"/>
          <w:color w:val="auto"/>
          <w:lang w:val="en-US" w:eastAsia="zh-CN"/>
        </w:rPr>
        <w:t>以上</w:t>
      </w:r>
      <w:r>
        <w:rPr>
          <w:rFonts w:hint="eastAsia" w:ascii="仿宋_GB2312" w:hAnsi="仿宋_GB2312" w:cs="仿宋_GB2312"/>
          <w:color w:val="auto"/>
        </w:rPr>
        <w:t>，产业生态逐步完善，产值超1000亿的园区3家，超100亿的园区10家。</w:t>
      </w:r>
    </w:p>
    <w:p>
      <w:pPr>
        <w:rPr>
          <w:rFonts w:ascii="仿宋_GB2312" w:hAnsi="仿宋_GB2312" w:cs="仿宋_GB2312"/>
          <w:color w:val="auto"/>
        </w:rPr>
      </w:pPr>
      <w:r>
        <w:rPr>
          <w:rFonts w:hint="eastAsia" w:ascii="楷体_GB2312" w:hAnsi="楷体_GB2312" w:eastAsia="楷体_GB2312" w:cs="楷体_GB2312"/>
          <w:b/>
          <w:bCs/>
          <w:color w:val="auto"/>
        </w:rPr>
        <w:t>创新平台实质性增强。</w:t>
      </w:r>
      <w:r>
        <w:rPr>
          <w:rFonts w:hint="eastAsia" w:ascii="仿宋_GB2312" w:hAnsi="仿宋_GB2312" w:cs="仿宋_GB2312"/>
          <w:color w:val="auto"/>
        </w:rPr>
        <w:t>到2023年，力争建成国家级创新研发机构（平台/中心）5-8个，省级50个以上，市级100个以上，新一代信息技术研发创新能力、技术应用能力、产业转化能力显著增强。</w:t>
      </w:r>
    </w:p>
    <w:p>
      <w:pPr>
        <w:rPr>
          <w:rFonts w:ascii="仿宋_GB2312" w:hAnsi="仿宋_GB2312" w:cs="仿宋_GB2312"/>
          <w:color w:val="auto"/>
        </w:rPr>
      </w:pPr>
      <w:r>
        <w:rPr>
          <w:rFonts w:hint="eastAsia" w:ascii="楷体_GB2312" w:hAnsi="楷体_GB2312" w:eastAsia="楷体_GB2312" w:cs="楷体_GB2312"/>
          <w:b/>
          <w:bCs/>
          <w:color w:val="auto"/>
        </w:rPr>
        <w:t>行业应用规模化推进。</w:t>
      </w:r>
      <w:r>
        <w:rPr>
          <w:rFonts w:hint="eastAsia" w:ascii="仿宋_GB2312" w:hAnsi="仿宋_GB2312" w:cs="仿宋_GB2312"/>
          <w:color w:val="auto"/>
        </w:rPr>
        <w:t>到2023年，重点领域应用的示范效应和辐射带动作用明显增强，以智慧城市、智慧民生、智能制造、自动驾驶、智慧医疗等为引领，形成一批可复制、可推广的应用场景。</w:t>
      </w:r>
    </w:p>
    <w:p>
      <w:pPr>
        <w:rPr>
          <w:rFonts w:ascii="楷体_GB2312" w:hAnsi="楷体_GB2312" w:eastAsia="楷体_GB2312" w:cs="楷体_GB2312"/>
          <w:b/>
          <w:bCs/>
          <w:color w:val="auto"/>
        </w:rPr>
      </w:pPr>
      <w:r>
        <w:rPr>
          <w:rFonts w:hint="eastAsia" w:ascii="楷体_GB2312" w:hAnsi="楷体_GB2312" w:eastAsia="楷体_GB2312" w:cs="楷体_GB2312"/>
          <w:b/>
          <w:bCs/>
          <w:color w:val="auto"/>
        </w:rPr>
        <w:t>（2）远期目标（2024—2025）</w:t>
      </w:r>
    </w:p>
    <w:p>
      <w:pPr>
        <w:rPr>
          <w:rFonts w:ascii="仿宋_GB2312" w:hAnsi="仿宋_GB2312" w:cs="仿宋_GB2312"/>
          <w:color w:val="auto"/>
        </w:rPr>
      </w:pPr>
      <w:r>
        <w:rPr>
          <w:rFonts w:hint="eastAsia" w:ascii="楷体_GB2312" w:hAnsi="楷体_GB2312" w:eastAsia="楷体_GB2312" w:cs="楷体_GB2312"/>
          <w:b/>
          <w:bCs/>
          <w:color w:val="auto"/>
        </w:rPr>
        <w:t>产业集聚效应显现。</w:t>
      </w:r>
      <w:r>
        <w:rPr>
          <w:rFonts w:hint="eastAsia" w:ascii="仿宋_GB2312" w:hAnsi="仿宋_GB2312" w:cs="仿宋_GB2312"/>
          <w:color w:val="auto"/>
        </w:rPr>
        <w:t>到2025年，郑州市新一代信息技术产业在国内影响力显著提升，力争产值突破8000亿，培育新一代信息技术产业链企业3000家、具有核心竞争力的优势企业500家、在行业内具有影响力的龙头企业20家。</w:t>
      </w:r>
    </w:p>
    <w:p>
      <w:pPr>
        <w:rPr>
          <w:rFonts w:ascii="仿宋_GB2312" w:hAnsi="仿宋_GB2312" w:cs="仿宋_GB2312"/>
          <w:color w:val="auto"/>
        </w:rPr>
      </w:pPr>
      <w:r>
        <w:rPr>
          <w:rFonts w:hint="eastAsia" w:ascii="楷体_GB2312" w:hAnsi="楷体_GB2312" w:eastAsia="楷体_GB2312" w:cs="楷体_GB2312"/>
          <w:b/>
          <w:bCs/>
          <w:color w:val="auto"/>
        </w:rPr>
        <w:t>特色产业优势明显。</w:t>
      </w:r>
      <w:r>
        <w:rPr>
          <w:rFonts w:hint="eastAsia" w:ascii="仿宋_GB2312" w:hAnsi="仿宋_GB2312" w:cs="仿宋_GB2312"/>
          <w:color w:val="auto"/>
        </w:rPr>
        <w:t>到2025年，新建国家级研发机构10个，省级研发机构100个。骨干企业研发投入占销售收入的比例达8%以上。新一代信息技术支撑领域产业（电子信息制造、信息安全、软件与信息服务、物联网、北斗导航）在全球处于领先地位，新一代信息技术重点领域产业（人工智能、大数据、云计算、虚拟现实、数字创意）在全国处于领头地位，新一代信息技术前沿领域产业（新型互联网、新型通信、集成电路、区块链、新型显示）在全国处于先进行列。</w:t>
      </w:r>
    </w:p>
    <w:p>
      <w:pPr>
        <w:rPr>
          <w:rFonts w:ascii="仿宋" w:hAnsi="仿宋" w:cs="仿宋"/>
          <w:color w:val="auto"/>
        </w:rPr>
      </w:pPr>
      <w:r>
        <w:rPr>
          <w:rFonts w:hint="eastAsia" w:ascii="楷体_GB2312" w:hAnsi="楷体_GB2312" w:eastAsia="楷体_GB2312" w:cs="楷体_GB2312"/>
          <w:b/>
          <w:bCs/>
          <w:color w:val="auto"/>
        </w:rPr>
        <w:t>融合应用特色鲜明。</w:t>
      </w:r>
      <w:r>
        <w:rPr>
          <w:rFonts w:hint="eastAsia" w:ascii="仿宋_GB2312" w:hAnsi="仿宋_GB2312" w:cs="仿宋_GB2312"/>
          <w:color w:val="auto"/>
        </w:rPr>
        <w:t>结合郑州市城市大脑的建设，积极推进国家新基建战略，在城市泛在感知网、工业互联网、城市基础通信设施、智能制造、5G和北斗应用等领域，实施一批高质量示范试点工程，形成新一代信息技术融合创新应用生态圈，使郑州市新一代信息技术应用达到国内领先水平。</w:t>
      </w:r>
    </w:p>
    <w:p>
      <w:pPr>
        <w:pStyle w:val="5"/>
        <w:rPr>
          <w:color w:val="auto"/>
        </w:rPr>
      </w:pPr>
      <w:bookmarkStart w:id="17" w:name="_Toc18399"/>
      <w:r>
        <w:rPr>
          <w:rFonts w:hint="eastAsia"/>
          <w:color w:val="auto"/>
        </w:rPr>
        <w:t>（四）发展路径</w:t>
      </w:r>
      <w:bookmarkEnd w:id="17"/>
    </w:p>
    <w:p>
      <w:pPr>
        <w:ind w:firstLine="640"/>
        <w:rPr>
          <w:rFonts w:hint="eastAsia" w:ascii="仿宋_GB2312" w:hAnsi="仿宋_GB2312" w:eastAsia="仿宋_GB2312" w:cs="仿宋_GB2312"/>
          <w:color w:val="auto"/>
          <w:lang w:eastAsia="zh-CN"/>
        </w:rPr>
      </w:pPr>
      <w:r>
        <w:rPr>
          <w:rFonts w:hint="eastAsia" w:ascii="仿宋_GB2312" w:hAnsi="仿宋_GB2312" w:cs="仿宋_GB2312"/>
          <w:color w:val="auto"/>
        </w:rPr>
        <w:t>围绕制造业高质量发展，遵循产业发展规律，突出区域特色，加快培育新一代信息技术产业。</w:t>
      </w:r>
      <w:r>
        <w:rPr>
          <w:rFonts w:hint="eastAsia" w:ascii="仿宋_GB2312" w:hAnsi="仿宋_GB2312" w:cs="仿宋_GB2312"/>
          <w:b/>
          <w:bCs/>
          <w:color w:val="auto"/>
        </w:rPr>
        <w:t>按照“12356”发展路径</w:t>
      </w:r>
      <w:r>
        <w:rPr>
          <w:rFonts w:hint="eastAsia" w:ascii="仿宋_GB2312" w:hAnsi="仿宋_GB2312" w:cs="仿宋_GB2312"/>
          <w:color w:val="auto"/>
        </w:rPr>
        <w:t>推进新一代信息技术产业实现快速发展</w:t>
      </w:r>
      <w:r>
        <w:rPr>
          <w:rFonts w:hint="eastAsia" w:ascii="仿宋_GB2312" w:hAnsi="仿宋_GB2312" w:cs="仿宋_GB2312"/>
          <w:b/>
          <w:bCs/>
          <w:color w:val="auto"/>
        </w:rPr>
        <w:t>，即：围绕“一个目标”，实施“两个战略”，建设“三大领域”，抓好“五大任务”，推进“六大工程”，</w:t>
      </w:r>
      <w:r>
        <w:rPr>
          <w:rFonts w:hint="eastAsia" w:ascii="仿宋_GB2312" w:hAnsi="仿宋_GB2312" w:cs="仿宋_GB2312"/>
          <w:color w:val="auto"/>
        </w:rPr>
        <w:t>打造全国具有重要影响力的新一代信息技术产业创新发展高地</w:t>
      </w:r>
      <w:r>
        <w:rPr>
          <w:rFonts w:hint="eastAsia" w:ascii="仿宋_GB2312" w:hAnsi="仿宋_GB2312" w:cs="仿宋_GB2312"/>
          <w:color w:val="auto"/>
          <w:lang w:eastAsia="zh-CN"/>
        </w:rPr>
        <w:t>。</w:t>
      </w:r>
    </w:p>
    <w:p>
      <w:pPr>
        <w:rPr>
          <w:rFonts w:ascii="仿宋_GB2312" w:hAnsi="仿宋_GB2312" w:cs="仿宋_GB2312"/>
          <w:color w:val="auto"/>
        </w:rPr>
      </w:pPr>
      <w:r>
        <w:rPr>
          <w:rFonts w:hint="eastAsia" w:ascii="楷体_GB2312" w:hAnsi="楷体_GB2312" w:eastAsia="楷体_GB2312" w:cs="楷体_GB2312"/>
          <w:b/>
          <w:bCs/>
          <w:color w:val="auto"/>
        </w:rPr>
        <w:t>一个目标：</w:t>
      </w:r>
      <w:r>
        <w:rPr>
          <w:rFonts w:hint="eastAsia" w:ascii="仿宋_GB2312" w:hAnsi="仿宋_GB2312" w:cs="仿宋_GB2312"/>
          <w:color w:val="auto"/>
        </w:rPr>
        <w:t>围绕新一代信息技术8000亿产业发展目标，理清思路，谋划发展；</w:t>
      </w:r>
    </w:p>
    <w:p>
      <w:pPr>
        <w:rPr>
          <w:rFonts w:ascii="仿宋_GB2312" w:hAnsi="仿宋_GB2312" w:cs="仿宋_GB2312"/>
          <w:color w:val="auto"/>
        </w:rPr>
      </w:pPr>
      <w:r>
        <w:rPr>
          <w:rFonts w:hint="eastAsia" w:ascii="楷体_GB2312" w:hAnsi="楷体_GB2312" w:eastAsia="楷体_GB2312" w:cs="楷体_GB2312"/>
          <w:b/>
          <w:bCs/>
          <w:color w:val="auto"/>
        </w:rPr>
        <w:t>两个战略：</w:t>
      </w:r>
      <w:r>
        <w:rPr>
          <w:rFonts w:hint="eastAsia" w:ascii="仿宋_GB2312" w:hAnsi="仿宋_GB2312" w:cs="仿宋_GB2312"/>
          <w:color w:val="auto"/>
        </w:rPr>
        <w:t>实施“引培并举”和“自主创新”两个驱动战略，一方面加大招商引资引智力度，形成产业总部基地，为产业高质量集聚提供基本保证，同时注重本地优势企业的培育；另一方面全力增强创新能力，关键技术率先突破，为产业高水平发展提供原动力。</w:t>
      </w:r>
    </w:p>
    <w:p>
      <w:pPr>
        <w:rPr>
          <w:rFonts w:ascii="仿宋_GB2312" w:hAnsi="仿宋_GB2312" w:cs="仿宋_GB2312"/>
          <w:color w:val="auto"/>
        </w:rPr>
      </w:pPr>
      <w:r>
        <w:rPr>
          <w:rFonts w:hint="eastAsia" w:ascii="楷体_GB2312" w:hAnsi="楷体_GB2312" w:eastAsia="楷体_GB2312" w:cs="楷体_GB2312"/>
          <w:b/>
          <w:bCs/>
          <w:color w:val="auto"/>
        </w:rPr>
        <w:t>三大领域：</w:t>
      </w:r>
      <w:r>
        <w:rPr>
          <w:rFonts w:hint="eastAsia" w:ascii="仿宋_GB2312" w:hAnsi="仿宋_GB2312" w:cs="仿宋_GB2312"/>
          <w:color w:val="auto"/>
        </w:rPr>
        <w:t>即以电子信息制造、信息安全、软件与信息服务、智能传感器、北斗导航为主要技术的</w:t>
      </w:r>
      <w:r>
        <w:rPr>
          <w:rFonts w:hint="eastAsia" w:ascii="仿宋_GB2312" w:hAnsi="仿宋_GB2312" w:cs="仿宋_GB2312"/>
          <w:b/>
          <w:bCs/>
          <w:color w:val="auto"/>
        </w:rPr>
        <w:t>支撑领域</w:t>
      </w:r>
      <w:r>
        <w:rPr>
          <w:rFonts w:hint="eastAsia" w:ascii="仿宋_GB2312" w:hAnsi="仿宋_GB2312" w:cs="仿宋_GB2312"/>
          <w:color w:val="auto"/>
        </w:rPr>
        <w:t>，以人工智能、大数据、云计算、虚拟现实、数字创意为主要技术的</w:t>
      </w:r>
      <w:r>
        <w:rPr>
          <w:rFonts w:hint="eastAsia" w:ascii="仿宋_GB2312" w:hAnsi="仿宋_GB2312" w:cs="仿宋_GB2312"/>
          <w:b/>
          <w:bCs/>
          <w:color w:val="auto"/>
        </w:rPr>
        <w:t>重点领域</w:t>
      </w:r>
      <w:r>
        <w:rPr>
          <w:rFonts w:hint="eastAsia" w:ascii="仿宋_GB2312" w:hAnsi="仿宋_GB2312" w:cs="仿宋_GB2312"/>
          <w:color w:val="auto"/>
        </w:rPr>
        <w:t>，以新型互联网、新型通信、集成电路、区块链、新型显示为主要技术的</w:t>
      </w:r>
      <w:r>
        <w:rPr>
          <w:rFonts w:hint="eastAsia" w:ascii="仿宋_GB2312" w:hAnsi="仿宋_GB2312" w:cs="仿宋_GB2312"/>
          <w:b/>
          <w:bCs/>
          <w:color w:val="auto"/>
        </w:rPr>
        <w:t>前沿领域</w:t>
      </w:r>
      <w:r>
        <w:rPr>
          <w:rFonts w:hint="eastAsia" w:ascii="仿宋_GB2312" w:hAnsi="仿宋_GB2312" w:cs="仿宋_GB2312"/>
          <w:color w:val="auto"/>
        </w:rPr>
        <w:t>。</w:t>
      </w:r>
    </w:p>
    <w:p>
      <w:pPr>
        <w:rPr>
          <w:rFonts w:ascii="仿宋_GB2312" w:hAnsi="仿宋_GB2312" w:cs="仿宋_GB2312"/>
          <w:color w:val="auto"/>
        </w:rPr>
      </w:pPr>
      <w:r>
        <w:rPr>
          <w:rFonts w:hint="eastAsia" w:ascii="楷体_GB2312" w:hAnsi="楷体_GB2312" w:eastAsia="楷体_GB2312" w:cs="楷体_GB2312"/>
          <w:b/>
          <w:bCs/>
          <w:color w:val="auto"/>
        </w:rPr>
        <w:t>五大任务：</w:t>
      </w:r>
      <w:r>
        <w:rPr>
          <w:rFonts w:hint="eastAsia" w:ascii="仿宋_GB2312" w:hAnsi="仿宋_GB2312" w:cs="仿宋_GB2312"/>
          <w:color w:val="auto"/>
        </w:rPr>
        <w:t>即着力培育产业发展动能、加快高成长性企业培育、全面提升源头创新能力、打造产业融合发展态势、构筑产业创新发展环境。</w:t>
      </w:r>
    </w:p>
    <w:p>
      <w:pPr>
        <w:rPr>
          <w:rFonts w:ascii="仿宋" w:hAnsi="仿宋" w:cs="仿宋"/>
          <w:color w:val="auto"/>
        </w:rPr>
      </w:pPr>
      <w:r>
        <w:rPr>
          <w:rFonts w:hint="eastAsia" w:ascii="楷体_GB2312" w:hAnsi="楷体_GB2312" w:eastAsia="楷体_GB2312" w:cs="楷体_GB2312"/>
          <w:b/>
          <w:bCs/>
          <w:color w:val="auto"/>
        </w:rPr>
        <w:t>六大工程：</w:t>
      </w:r>
      <w:r>
        <w:rPr>
          <w:rFonts w:hint="eastAsia" w:ascii="仿宋_GB2312" w:hAnsi="仿宋_GB2312" w:cs="仿宋_GB2312"/>
          <w:color w:val="auto"/>
        </w:rPr>
        <w:t>即重大创新平台建设工程、产业支撑平台建设工程、新型基础设施建设工程、试点示范推广应用工程、重点领域融合赋能工程、产业高端智库建设工程。</w:t>
      </w:r>
    </w:p>
    <w:p>
      <w:pPr>
        <w:pStyle w:val="5"/>
        <w:rPr>
          <w:color w:val="auto"/>
        </w:rPr>
      </w:pPr>
      <w:bookmarkStart w:id="18" w:name="_Toc16247"/>
      <w:r>
        <w:rPr>
          <w:rFonts w:hint="eastAsia"/>
          <w:color w:val="auto"/>
        </w:rPr>
        <w:t>（五）产业布局</w:t>
      </w:r>
      <w:bookmarkEnd w:id="18"/>
    </w:p>
    <w:p>
      <w:pPr>
        <w:ind w:firstLine="640"/>
        <w:rPr>
          <w:rFonts w:ascii="仿宋_GB2312" w:hAnsi="仿宋_GB2312" w:cs="仿宋_GB2312"/>
          <w:color w:val="auto"/>
        </w:rPr>
      </w:pPr>
      <w:r>
        <w:rPr>
          <w:rFonts w:hint="eastAsia" w:ascii="仿宋_GB2312" w:hAnsi="仿宋_GB2312" w:cs="仿宋_GB2312"/>
          <w:color w:val="auto"/>
          <w:lang w:val="en"/>
        </w:rPr>
        <w:t>按照“差异化、特色化、集群化、协同化”发展原则，加快构建</w:t>
      </w:r>
      <w:r>
        <w:rPr>
          <w:rFonts w:hint="eastAsia" w:ascii="仿宋_GB2312" w:hAnsi="仿宋_GB2312" w:cs="仿宋_GB2312"/>
          <w:b/>
          <w:bCs/>
          <w:color w:val="auto"/>
          <w:lang w:val="en"/>
        </w:rPr>
        <w:t>“</w:t>
      </w:r>
      <w:r>
        <w:rPr>
          <w:rFonts w:hint="eastAsia" w:ascii="仿宋_GB2312" w:hAnsi="仿宋_GB2312" w:cs="仿宋_GB2312"/>
          <w:b/>
          <w:bCs/>
          <w:color w:val="auto"/>
        </w:rPr>
        <w:t>一核引领，四区联动，多点支撑”</w:t>
      </w:r>
      <w:r>
        <w:rPr>
          <w:rFonts w:hint="eastAsia" w:ascii="仿宋_GB2312" w:hAnsi="仿宋_GB2312" w:cs="仿宋_GB2312"/>
          <w:color w:val="auto"/>
        </w:rPr>
        <w:t>的新一代信息技术产业布局，即以</w:t>
      </w:r>
      <w:r>
        <w:rPr>
          <w:rFonts w:hint="eastAsia" w:ascii="仿宋_GB2312" w:hAnsi="仿宋_GB2312" w:cs="仿宋_GB2312"/>
          <w:color w:val="auto"/>
          <w:lang w:val="en-US" w:eastAsia="zh-CN"/>
        </w:rPr>
        <w:t>郑州</w:t>
      </w:r>
      <w:r>
        <w:rPr>
          <w:rFonts w:hint="eastAsia" w:ascii="仿宋_GB2312" w:hAnsi="仿宋_GB2312" w:cs="仿宋_GB2312"/>
          <w:color w:val="auto"/>
        </w:rPr>
        <w:t>航空港实验区电子信息制造业为引领，强化高新区、金水区、郑东新区、经开区新一代信息技术的联动发展，带动其他</w:t>
      </w:r>
      <w:r>
        <w:rPr>
          <w:rFonts w:hint="eastAsia" w:ascii="仿宋_GB2312" w:hAnsi="仿宋_GB2312" w:cs="仿宋_GB2312"/>
          <w:color w:val="auto"/>
          <w:lang w:eastAsia="zh-CN"/>
        </w:rPr>
        <w:t>区县（市）</w:t>
      </w:r>
      <w:r>
        <w:rPr>
          <w:rFonts w:hint="eastAsia" w:ascii="仿宋_GB2312" w:hAnsi="仿宋_GB2312" w:cs="仿宋_GB2312"/>
          <w:color w:val="auto"/>
        </w:rPr>
        <w:t>围绕新一代信息技术产业链条创建一批特色园区和街区，实施特色化发展。</w:t>
      </w:r>
    </w:p>
    <w:p>
      <w:pPr>
        <w:rPr>
          <w:rFonts w:ascii="仿宋_GB2312" w:hAnsi="仿宋_GB2312" w:cs="仿宋_GB2312"/>
          <w:color w:val="auto"/>
        </w:rPr>
      </w:pPr>
      <w:r>
        <w:rPr>
          <w:rFonts w:hint="eastAsia" w:ascii="楷体_GB2312" w:hAnsi="楷体_GB2312" w:eastAsia="楷体_GB2312" w:cs="楷体_GB2312"/>
          <w:b/>
          <w:bCs/>
          <w:color w:val="auto"/>
          <w:lang w:val="en"/>
        </w:rPr>
        <w:t>一核：</w:t>
      </w:r>
      <w:r>
        <w:rPr>
          <w:rFonts w:hint="eastAsia" w:ascii="仿宋_GB2312" w:hAnsi="仿宋_GB2312" w:cs="仿宋_GB2312"/>
          <w:color w:val="auto"/>
          <w:lang w:val="en"/>
        </w:rPr>
        <w:t>即</w:t>
      </w:r>
      <w:r>
        <w:rPr>
          <w:rFonts w:hint="eastAsia" w:ascii="仿宋_GB2312" w:hAnsi="仿宋_GB2312" w:cs="仿宋_GB2312"/>
          <w:color w:val="auto"/>
        </w:rPr>
        <w:t>以</w:t>
      </w:r>
      <w:r>
        <w:rPr>
          <w:rFonts w:hint="eastAsia" w:ascii="仿宋_GB2312" w:hAnsi="仿宋_GB2312" w:cs="仿宋_GB2312"/>
          <w:color w:val="auto"/>
          <w:lang w:val="en-US" w:eastAsia="zh-CN"/>
        </w:rPr>
        <w:t>郑州</w:t>
      </w:r>
      <w:r>
        <w:rPr>
          <w:rFonts w:hint="eastAsia" w:ascii="仿宋_GB2312" w:hAnsi="仿宋_GB2312" w:cs="仿宋_GB2312"/>
          <w:color w:val="auto"/>
        </w:rPr>
        <w:t>航空港实验区为核心，依托富士康郑州科技园、智能终端（手机）产业园、半导体产业园</w:t>
      </w:r>
      <w:r>
        <w:rPr>
          <w:rFonts w:hint="eastAsia" w:ascii="仿宋_GB2312" w:hAnsi="仿宋_GB2312" w:cs="仿宋_GB2312"/>
          <w:color w:val="auto"/>
          <w:lang w:eastAsia="zh-CN"/>
        </w:rPr>
        <w:t>（</w:t>
      </w:r>
      <w:r>
        <w:rPr>
          <w:rFonts w:hint="eastAsia" w:ascii="仿宋_GB2312" w:hAnsi="仿宋_GB2312" w:cs="仿宋_GB2312"/>
          <w:color w:val="auto"/>
          <w:lang w:val="en-US" w:eastAsia="zh-CN"/>
        </w:rPr>
        <w:t>谋划建设</w:t>
      </w:r>
      <w:r>
        <w:rPr>
          <w:rFonts w:hint="eastAsia" w:ascii="仿宋_GB2312" w:hAnsi="仿宋_GB2312" w:cs="仿宋_GB2312"/>
          <w:color w:val="auto"/>
          <w:lang w:eastAsia="zh-CN"/>
        </w:rPr>
        <w:t>）</w:t>
      </w:r>
      <w:r>
        <w:rPr>
          <w:rFonts w:hint="eastAsia" w:ascii="仿宋_GB2312" w:hAnsi="仿宋_GB2312" w:cs="仿宋_GB2312"/>
          <w:color w:val="auto"/>
        </w:rPr>
        <w:t>、新型显示产业园、航空物流产业园、精密机械产业园、北斗产业园等专业园区，重点打造以智能终端、集成电路、光电显示、北斗导航为主的新一代信息技术产业基地。</w:t>
      </w:r>
    </w:p>
    <w:p>
      <w:pPr>
        <w:rPr>
          <w:rFonts w:ascii="楷体_GB2312" w:hAnsi="楷体_GB2312" w:eastAsia="楷体_GB2312" w:cs="楷体_GB2312"/>
          <w:b/>
          <w:bCs/>
          <w:color w:val="auto"/>
          <w:lang w:val="en"/>
        </w:rPr>
      </w:pPr>
      <w:r>
        <w:rPr>
          <w:rFonts w:hint="eastAsia" w:ascii="楷体_GB2312" w:hAnsi="楷体_GB2312" w:eastAsia="楷体_GB2312" w:cs="楷体_GB2312"/>
          <w:b/>
          <w:bCs/>
          <w:color w:val="auto"/>
          <w:lang w:val="en"/>
        </w:rPr>
        <w:t>四区联动：</w:t>
      </w:r>
    </w:p>
    <w:p>
      <w:pPr>
        <w:rPr>
          <w:rFonts w:ascii="仿宋_GB2312" w:hAnsi="仿宋_GB2312" w:cs="仿宋_GB2312"/>
          <w:color w:val="auto"/>
          <w:szCs w:val="32"/>
        </w:rPr>
      </w:pPr>
      <w:r>
        <w:rPr>
          <w:rFonts w:hint="eastAsia" w:ascii="仿宋_GB2312" w:hAnsi="仿宋_GB2312" w:cs="仿宋_GB2312"/>
          <w:b/>
          <w:bCs/>
          <w:color w:val="auto"/>
        </w:rPr>
        <w:t>高新区</w:t>
      </w:r>
      <w:r>
        <w:rPr>
          <w:rFonts w:hint="eastAsia" w:ascii="仿宋_GB2312" w:hAnsi="仿宋_GB2312" w:cs="仿宋_GB2312"/>
          <w:color w:val="auto"/>
        </w:rPr>
        <w:t>依托石佛园区、枫杨园区、梧桐园区、双桥园区等，重点打造国内有影响力的以智能传感器为核心的物联网产业基地；重点发展信息安全、北斗导航、软件与信息服务等产业；</w:t>
      </w:r>
      <w:r>
        <w:rPr>
          <w:rFonts w:hint="eastAsia" w:ascii="仿宋_GB2312" w:hAnsi="仿宋_GB2312" w:cs="仿宋_GB2312"/>
          <w:color w:val="auto"/>
          <w:szCs w:val="32"/>
        </w:rPr>
        <w:t>加快发展智能终端、大数据、云计算、人工智能等新兴领域，布局集成电路、区块链、新型互联网等前沿领域。</w:t>
      </w:r>
    </w:p>
    <w:p>
      <w:pPr>
        <w:rPr>
          <w:rFonts w:ascii="仿宋_GB2312" w:hAnsi="仿宋_GB2312" w:cs="仿宋_GB2312"/>
          <w:color w:val="auto"/>
        </w:rPr>
      </w:pPr>
      <w:r>
        <w:rPr>
          <w:rFonts w:hint="eastAsia" w:ascii="仿宋_GB2312" w:hAnsi="仿宋_GB2312" w:cs="仿宋_GB2312"/>
          <w:b/>
          <w:bCs/>
          <w:color w:val="auto"/>
        </w:rPr>
        <w:t>金水区</w:t>
      </w:r>
      <w:r>
        <w:rPr>
          <w:rFonts w:hint="eastAsia" w:ascii="仿宋_GB2312" w:hAnsi="仿宋_GB2312" w:cs="仿宋_GB2312"/>
          <w:color w:val="auto"/>
        </w:rPr>
        <w:t>依托金水科教园区、金水科技园区、知识产权创意园、国际金贸港等，重点打造国内有影响力的信息安全基地，重点发展信息安全、人工智能、工业互联网、文化创意等产业。</w:t>
      </w:r>
    </w:p>
    <w:p>
      <w:pPr>
        <w:rPr>
          <w:rFonts w:ascii="仿宋_GB2312" w:hAnsi="仿宋_GB2312" w:cs="仿宋_GB2312"/>
          <w:color w:val="auto"/>
        </w:rPr>
      </w:pPr>
      <w:r>
        <w:rPr>
          <w:rFonts w:hint="eastAsia" w:ascii="仿宋_GB2312" w:hAnsi="仿宋_GB2312" w:cs="仿宋_GB2312"/>
          <w:b/>
          <w:bCs/>
          <w:color w:val="auto"/>
        </w:rPr>
        <w:t>郑东新区</w:t>
      </w:r>
      <w:r>
        <w:rPr>
          <w:rFonts w:hint="eastAsia" w:ascii="仿宋_GB2312" w:hAnsi="仿宋_GB2312" w:cs="仿宋_GB2312"/>
          <w:color w:val="auto"/>
        </w:rPr>
        <w:t>依托中原科技城、龙子湖智慧岛等，重点打造国家大数据综合试验区，重点发展大数据、人工智能、集成电路、物联网、云计算、虚拟现实等产业。</w:t>
      </w:r>
    </w:p>
    <w:p>
      <w:pPr>
        <w:rPr>
          <w:rFonts w:ascii="仿宋_GB2312" w:hAnsi="仿宋_GB2312" w:cs="仿宋_GB2312"/>
          <w:color w:val="auto"/>
        </w:rPr>
      </w:pPr>
      <w:r>
        <w:rPr>
          <w:rFonts w:hint="eastAsia" w:ascii="仿宋_GB2312" w:hAnsi="仿宋_GB2312" w:cs="仿宋_GB2312"/>
          <w:b/>
          <w:bCs/>
          <w:color w:val="auto"/>
        </w:rPr>
        <w:t>经开区</w:t>
      </w:r>
      <w:r>
        <w:rPr>
          <w:rFonts w:hint="eastAsia" w:ascii="仿宋_GB2312" w:hAnsi="仿宋_GB2312" w:cs="仿宋_GB2312"/>
          <w:color w:val="auto"/>
        </w:rPr>
        <w:t>依托汽车及装备制造产业集群，建设车联网、自动驾驶和工业互联网应用基地，全面推动工业互联网的深度应用，重点打造高端智能制造基地，形成特色鲜明的集聚区。</w:t>
      </w:r>
    </w:p>
    <w:p>
      <w:pPr>
        <w:rPr>
          <w:color w:val="auto"/>
          <w:lang w:val="en"/>
        </w:rPr>
      </w:pPr>
      <w:r>
        <w:rPr>
          <w:rFonts w:hint="eastAsia" w:ascii="楷体_GB2312" w:hAnsi="楷体_GB2312" w:eastAsia="楷体_GB2312" w:cs="楷体_GB2312"/>
          <w:b/>
          <w:bCs/>
          <w:color w:val="auto"/>
          <w:lang w:val="en"/>
        </w:rPr>
        <w:t>多点支撑：</w:t>
      </w:r>
      <w:r>
        <w:rPr>
          <w:rFonts w:hint="eastAsia" w:ascii="仿宋_GB2312" w:hAnsi="仿宋_GB2312" w:cs="仿宋_GB2312"/>
          <w:color w:val="auto"/>
        </w:rPr>
        <w:t>其他各</w:t>
      </w:r>
      <w:r>
        <w:rPr>
          <w:rFonts w:hint="eastAsia" w:ascii="仿宋_GB2312" w:hAnsi="仿宋_GB2312" w:cs="仿宋_GB2312"/>
          <w:color w:val="auto"/>
          <w:lang w:eastAsia="zh-CN"/>
        </w:rPr>
        <w:t>区县（市）</w:t>
      </w:r>
      <w:r>
        <w:rPr>
          <w:rFonts w:hint="eastAsia" w:ascii="仿宋_GB2312" w:hAnsi="仿宋_GB2312" w:cs="仿宋_GB2312"/>
          <w:color w:val="auto"/>
          <w:lang w:val="en-US" w:eastAsia="zh-CN"/>
        </w:rPr>
        <w:t>依托</w:t>
      </w:r>
      <w:r>
        <w:rPr>
          <w:rFonts w:hint="eastAsia" w:ascii="仿宋_GB2312" w:hAnsi="仿宋_GB2312" w:cs="仿宋_GB2312"/>
          <w:color w:val="auto"/>
        </w:rPr>
        <w:t>特色专业园区，培育壮大一批具有国际影响力、行业辐射力、资源整合力的新一代信息技术产业园区，打造具有</w:t>
      </w:r>
      <w:r>
        <w:rPr>
          <w:rFonts w:hint="eastAsia" w:ascii="仿宋_GB2312" w:hAnsi="仿宋_GB2312" w:cs="仿宋_GB2312"/>
          <w:color w:val="auto"/>
          <w:lang w:val="en-US" w:eastAsia="zh-CN"/>
        </w:rPr>
        <w:t>区域</w:t>
      </w:r>
      <w:r>
        <w:rPr>
          <w:rFonts w:hint="eastAsia" w:ascii="仿宋_GB2312" w:hAnsi="仿宋_GB2312" w:cs="仿宋_GB2312"/>
          <w:color w:val="auto"/>
        </w:rPr>
        <w:t>竞争力的产业集群，建成龙头云集、技术领先、业态丰富、软硬结合、协作紧密的新一代信息技术产业基地，形成以协作配套和分工合作为基础，以完备的公共服务体系为支撑的新一代信息技术产业链条，</w:t>
      </w:r>
      <w:r>
        <w:rPr>
          <w:rFonts w:hint="eastAsia" w:ascii="仿宋_GB2312" w:hAnsi="仿宋_GB2312" w:cs="仿宋_GB2312"/>
          <w:color w:val="auto"/>
          <w:lang w:val="en"/>
        </w:rPr>
        <w:t>形成产业协同发展、深化对外开放的产业格局。</w:t>
      </w:r>
    </w:p>
    <w:p>
      <w:pPr>
        <w:ind w:firstLine="0" w:firstLineChars="0"/>
        <w:rPr>
          <w:color w:val="auto"/>
          <w:lang w:val="en"/>
        </w:rPr>
        <w:sectPr>
          <w:footerReference r:id="rId16"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0" w:num="1"/>
          <w:rtlGutter w:val="0"/>
          <w:docGrid w:type="lines" w:linePitch="436" w:charSpace="0"/>
        </w:sectPr>
      </w:pPr>
    </w:p>
    <w:p>
      <w:pPr>
        <w:pStyle w:val="4"/>
        <w:ind w:firstLine="640"/>
        <w:rPr>
          <w:color w:val="auto"/>
          <w:szCs w:val="40"/>
        </w:rPr>
      </w:pPr>
      <w:bookmarkStart w:id="19" w:name="_Toc24740"/>
      <w:r>
        <w:rPr>
          <w:rFonts w:hint="eastAsia"/>
          <w:color w:val="auto"/>
        </w:rPr>
        <w:t>四、发展重点</w:t>
      </w:r>
      <w:bookmarkEnd w:id="19"/>
    </w:p>
    <w:p>
      <w:pPr>
        <w:pStyle w:val="5"/>
        <w:rPr>
          <w:color w:val="auto"/>
        </w:rPr>
      </w:pPr>
      <w:bookmarkStart w:id="20" w:name="_Toc14962"/>
      <w:r>
        <w:rPr>
          <w:rFonts w:hint="eastAsia"/>
          <w:color w:val="auto"/>
        </w:rPr>
        <w:t>（一）支撑领域提质量</w:t>
      </w:r>
      <w:bookmarkEnd w:id="20"/>
    </w:p>
    <w:p>
      <w:pPr>
        <w:ind w:firstLine="640"/>
        <w:rPr>
          <w:rFonts w:ascii="仿宋_GB2312" w:hAnsi="仿宋_GB2312" w:cs="仿宋_GB2312"/>
          <w:color w:val="auto"/>
        </w:rPr>
      </w:pPr>
      <w:r>
        <w:rPr>
          <w:rFonts w:hint="eastAsia" w:ascii="仿宋_GB2312" w:hAnsi="仿宋_GB2312" w:cs="仿宋_GB2312"/>
          <w:color w:val="auto"/>
        </w:rPr>
        <w:t>加快电子信息制造、信息安全、软件与信息服务、智能传感器、北斗导航等领域的提质增效。积极参加国家和行业的技术标准的制定工作，加强产业基础设施和配套设施的建设，加强名优品牌的建设。进一步提升</w:t>
      </w:r>
      <w:r>
        <w:rPr>
          <w:rFonts w:hint="eastAsia" w:ascii="仿宋_GB2312" w:hAnsi="仿宋_GB2312" w:cs="仿宋_GB2312"/>
          <w:color w:val="auto"/>
          <w:lang w:val="en-US" w:eastAsia="zh-CN"/>
        </w:rPr>
        <w:t>郑州航空港实验区</w:t>
      </w:r>
      <w:r>
        <w:rPr>
          <w:rFonts w:hint="eastAsia" w:ascii="仿宋_GB2312" w:hAnsi="仿宋_GB2312" w:cs="仿宋_GB2312"/>
          <w:color w:val="auto"/>
        </w:rPr>
        <w:t>电子信息制造业研发生产能力，着力构建智能终端全产业链发展格局；提升高新区传感器、仪器仪表等物联网核心元器件和设备的生产能力，加强上中下游企业深度合作，带动全产业链发展；全面提</w:t>
      </w:r>
      <w:r>
        <w:rPr>
          <w:rFonts w:hint="eastAsia" w:ascii="仿宋_GB2312" w:hAnsi="仿宋_GB2312" w:cs="仿宋_GB2312"/>
          <w:color w:val="auto"/>
          <w:lang w:val="en-US" w:eastAsia="zh-CN"/>
        </w:rPr>
        <w:t>升</w:t>
      </w:r>
      <w:r>
        <w:rPr>
          <w:rFonts w:hint="eastAsia" w:ascii="仿宋_GB2312" w:hAnsi="仿宋_GB2312" w:cs="仿宋_GB2312"/>
          <w:color w:val="auto"/>
        </w:rPr>
        <w:t>高端软件开发的水平，重点培育智能终端软件研发、系统集成、移动互联、行业软件、智能安防、电子商务等新兴产业，带动软件研发、信息服务、服务外包等高成长性产业集群发展，提高信息服务业的服务水平；充分发挥信息工程大学、中电科27所等</w:t>
      </w:r>
      <w:r>
        <w:rPr>
          <w:rFonts w:hint="eastAsia" w:ascii="仿宋_GB2312" w:hAnsi="仿宋_GB2312" w:cs="仿宋_GB2312"/>
          <w:color w:val="auto"/>
          <w:lang w:val="en-US" w:eastAsia="zh-CN"/>
        </w:rPr>
        <w:t>高校</w:t>
      </w:r>
      <w:r>
        <w:rPr>
          <w:rFonts w:hint="eastAsia" w:ascii="仿宋_GB2312" w:hAnsi="仿宋_GB2312" w:cs="仿宋_GB2312"/>
          <w:color w:val="auto"/>
        </w:rPr>
        <w:t>院所的技术力量，提高北斗导航产品研发、软件支撑、信息服务能力，加强在智能制造、电力巡检、自动驾驶、远程医疗、出行导航等重要领域的深入应用；优化信息安全产品产业链，加强高端产品研发，围绕安全芯片、安全终端、安全软件、安全</w:t>
      </w:r>
      <w:r>
        <w:rPr>
          <w:rFonts w:hint="eastAsia" w:ascii="仿宋_GB2312" w:hAnsi="仿宋_GB2312" w:cs="仿宋_GB2312"/>
          <w:color w:val="auto"/>
          <w:lang w:val="en-US" w:eastAsia="zh-CN"/>
        </w:rPr>
        <w:t>服务</w:t>
      </w:r>
      <w:r>
        <w:rPr>
          <w:rFonts w:hint="eastAsia" w:ascii="仿宋_GB2312" w:hAnsi="仿宋_GB2312" w:cs="仿宋_GB2312"/>
          <w:color w:val="auto"/>
        </w:rPr>
        <w:t>等领域，打造完整的“研发-制造服务”价值链。</w:t>
      </w:r>
    </w:p>
    <w:p>
      <w:pPr>
        <w:rPr>
          <w:rFonts w:ascii="仿宋_GB2312" w:hAnsi="仿宋_GB2312" w:cs="仿宋_GB2312"/>
          <w:color w:val="auto"/>
        </w:rPr>
      </w:pPr>
      <w:r>
        <w:rPr>
          <w:rFonts w:hint="eastAsia" w:ascii="楷体_GB2312" w:hAnsi="楷体_GB2312" w:eastAsia="楷体_GB2312" w:cs="楷体_GB2312"/>
          <w:b/>
          <w:bCs/>
          <w:color w:val="auto"/>
        </w:rPr>
        <w:t>1.电子信息制造。</w:t>
      </w:r>
      <w:r>
        <w:rPr>
          <w:rFonts w:hint="eastAsia" w:ascii="仿宋_GB2312" w:hAnsi="仿宋_GB2312" w:cs="仿宋_GB2312"/>
          <w:color w:val="auto"/>
        </w:rPr>
        <w:t>抓住新型智能终端应用日益普及、市场需求不断增长的机遇，依托富士康科技集团、智能终端（手机）产业园</w:t>
      </w:r>
      <w:r>
        <w:rPr>
          <w:rFonts w:hint="eastAsia" w:ascii="仿宋_GB2312" w:hAnsi="仿宋_GB2312" w:cs="仿宋_GB2312"/>
          <w:color w:val="auto"/>
          <w:lang w:val="en-US" w:eastAsia="zh-CN"/>
        </w:rPr>
        <w:t>等</w:t>
      </w:r>
      <w:r>
        <w:rPr>
          <w:rFonts w:hint="eastAsia" w:ascii="仿宋_GB2312" w:hAnsi="仿宋_GB2312" w:cs="仿宋_GB2312"/>
          <w:color w:val="auto"/>
        </w:rPr>
        <w:t>，重点发展智能终端（手机）整机，布局5G终端零部件配套产业发展，完善核心零组件、方案研发设计等配套产业链；建设新兴智能终端产业集群，大力引进新型显示行业龙头企业，大力发展4K/8K超高清产品、AR（增强现实）/VR（虚拟现实）/MR（混合现实）终端等新型智能终端。积极拓展汽车电子、智能穿戴、智能家居，以及智能音响、智能服务机器人、智能眼镜等智能终端产品。重点发展安全可信智能计算机和智能硬件，加快培育服务器、PC终端、笔记本电脑制造等信创产业；规划建设以研发设计服务、生产加工服务、供应链管理服务三位一体的服务体系，建立重点企业联络图，力争重点企业落地；着力形成智能终端全产业链发展格局，建成全球重要的智能终端生产基地、国内新兴的智能终端研发设计中心和国内重要的信创产业基地。</w:t>
      </w:r>
    </w:p>
    <w:p>
      <w:pPr>
        <w:rPr>
          <w:rFonts w:ascii="仿宋_GB2312" w:hAnsi="仿宋_GB2312" w:cs="仿宋_GB2312"/>
          <w:color w:val="auto"/>
        </w:rPr>
      </w:pPr>
      <w:r>
        <w:rPr>
          <w:rFonts w:hint="eastAsia" w:ascii="楷体_GB2312" w:hAnsi="楷体_GB2312" w:eastAsia="楷体_GB2312" w:cs="楷体_GB2312"/>
          <w:b/>
          <w:bCs/>
          <w:color w:val="auto"/>
        </w:rPr>
        <w:t>2.信息安全。</w:t>
      </w:r>
      <w:r>
        <w:rPr>
          <w:rFonts w:hint="eastAsia" w:ascii="仿宋_GB2312" w:hAnsi="仿宋_GB2312" w:cs="仿宋_GB2312"/>
          <w:color w:val="auto"/>
        </w:rPr>
        <w:t>以嵩山实验室建设为契机，依托中原科技城、金水科教园区河南省信息安全产业基地、高新区大数据产业园，构建总部基地和骨干型企业培育基地，强化集聚效应，着力引进、培育拥有突出核心技术、优势产品的企业和高端领军人才，培育信息安全产业集群及核心专业园区。以大数据安全、云安全、网络信息安全、智能终端控制系统安全等为重点，研发信息安全相关的产品和解决方案，加快培育和完善信息安全产业链。围绕安全芯片、安全智能终端、软件安全、信息安全解决方案等技术领域，打造完整的“研发-制造服务”价值链，积极推进网络安全基础设施群建设，打造千亿级信息安全产业集群。</w:t>
      </w:r>
      <w:r>
        <w:rPr>
          <w:rFonts w:hint="eastAsia" w:ascii="仿宋_GB2312" w:hAnsi="仿宋_GB2312" w:cs="仿宋_GB2312"/>
          <w:color w:val="auto"/>
        </w:rPr>
        <w:cr/>
      </w:r>
      <w:r>
        <w:rPr>
          <w:rFonts w:hint="eastAsia" w:ascii="仿宋_GB2312" w:hAnsi="仿宋_GB2312" w:cs="仿宋_GB2312"/>
          <w:color w:val="auto"/>
        </w:rPr>
        <w:t xml:space="preserve">    </w:t>
      </w:r>
      <w:r>
        <w:rPr>
          <w:rFonts w:hint="eastAsia" w:ascii="楷体_GB2312" w:hAnsi="楷体_GB2312" w:eastAsia="楷体_GB2312" w:cs="楷体_GB2312"/>
          <w:b/>
          <w:bCs/>
          <w:color w:val="auto"/>
        </w:rPr>
        <w:t>3.软件与信息服务。</w:t>
      </w:r>
      <w:r>
        <w:rPr>
          <w:rFonts w:hint="eastAsia" w:ascii="仿宋_GB2312" w:hAnsi="仿宋_GB2312" w:cs="仿宋_GB2312"/>
          <w:color w:val="auto"/>
        </w:rPr>
        <w:t>结合郑州市城市大脑工程的深入推进和重点领域建设需求，不断推动软件技术与业务的渗透与融合。开发符合财税金融、电信、医疗、旅游、农业、机器人、工业制造、交通、商贸流通等领域需求的行业应用软件、嵌入式软件、工具软件等产品，着力攻克智能设计与仿真、制造物联与服务、工业大数据处理等高端工业软件核心技术，研制行业应用软件和高端软件。重点培育智能终端软件研发、系统集成、移动互联、行业软件、智能安防、电子商务等新兴产业，带动软件研发、信息服务、服务外包等高成长性产业集群发展。集聚国内外大型高端软件研发、设计及服务企业，将郑州打造成为国内先进、中部领先的软件及信息服务产业高地。</w:t>
      </w:r>
    </w:p>
    <w:p>
      <w:pPr>
        <w:rPr>
          <w:rFonts w:ascii="仿宋_GB2312" w:hAnsi="仿宋_GB2312" w:cs="仿宋_GB2312"/>
          <w:color w:val="auto"/>
        </w:rPr>
      </w:pPr>
      <w:r>
        <w:rPr>
          <w:rFonts w:hint="eastAsia" w:ascii="楷体_GB2312" w:hAnsi="楷体_GB2312" w:eastAsia="楷体_GB2312" w:cs="楷体_GB2312"/>
          <w:b/>
          <w:bCs/>
          <w:color w:val="auto"/>
        </w:rPr>
        <w:t>4.智能传感器。</w:t>
      </w:r>
      <w:r>
        <w:rPr>
          <w:rFonts w:hint="eastAsia" w:ascii="仿宋_GB2312" w:hAnsi="仿宋_GB2312" w:cs="仿宋_GB2312"/>
          <w:color w:val="auto"/>
        </w:rPr>
        <w:t>围绕中国（郑州）智能传感谷建设，加快平台建设，推动产品升级，强化交流合作，打造产业生态体系。重点突破新型敏感材料、测量和数据处理、信息传输等关键技术，加快发展高灵敏度、高适应性、高可靠性的智能传感器及终端（智能仪器仪表）；积极发展MEMS（微机电系统）、射频识别、图码识别、多媒体采集、导航定位等产品；围绕物联网应用，研发相应的信息感知、采集、传输、处理、反馈控制系统设备；加强上中下游企业深度合作，带动全产业链发展。结合“智慧城市”建设和物联网技术发展趋势，促进物联网技术与云计算、大数据、人工智能、智慧城市等领域融合发展，重点在城市管理、生活服务、安全生产、安全防范、智能制造、现代农业、医疗卫生、智慧交通、能源电力、环保节能等领域推广特色应用，创新物联网应用的商业模式。</w:t>
      </w:r>
    </w:p>
    <w:p>
      <w:pPr>
        <w:rPr>
          <w:rFonts w:ascii="仿宋_GB2312" w:hAnsi="仿宋_GB2312" w:cs="仿宋_GB2312"/>
          <w:color w:val="auto"/>
        </w:rPr>
      </w:pPr>
      <w:r>
        <w:rPr>
          <w:rFonts w:hint="eastAsia" w:ascii="楷体_GB2312" w:hAnsi="楷体_GB2312" w:eastAsia="楷体_GB2312" w:cs="楷体_GB2312"/>
          <w:b/>
          <w:bCs/>
          <w:color w:val="auto"/>
        </w:rPr>
        <w:t>5.北斗导航。</w:t>
      </w:r>
      <w:r>
        <w:rPr>
          <w:rFonts w:hint="eastAsia" w:ascii="仿宋_GB2312" w:hAnsi="仿宋_GB2312" w:cs="仿宋_GB2312"/>
          <w:color w:val="auto"/>
        </w:rPr>
        <w:t>加快布局北斗导航创新平台，以信息工程大学、郑州大学、中电科27所等高校科研院所为依托，面向北斗产业链需求,开展北斗关键技术研发、前沿技术研究，强优势补短板，提升北斗产业发展的核心竞争力。扩大北斗导航综合应用服务</w:t>
      </w:r>
      <w:r>
        <w:rPr>
          <w:rFonts w:hint="eastAsia" w:ascii="仿宋_GB2312" w:hAnsi="仿宋_GB2312" w:cs="仿宋_GB2312"/>
          <w:color w:val="auto"/>
          <w:lang w:eastAsia="zh-CN"/>
        </w:rPr>
        <w:t>，</w:t>
      </w:r>
      <w:r>
        <w:rPr>
          <w:rFonts w:hint="eastAsia" w:ascii="仿宋_GB2312" w:hAnsi="仿宋_GB2312" w:cs="仿宋_GB2312"/>
          <w:color w:val="auto"/>
        </w:rPr>
        <w:t>着力推进北斗导航系统及其兼容导航授时技术与产品在智能制造、电力巡检、自动驾驶、远程医疗、出行导航等重要领域的深入应用，推动车辆位置服务体系发展完善，促进车辆监控、导航以及综合信息服务的规模化应用，着力培育自动驾驶、智慧交通、智能工业等装备系统集成及整体解决方案提供商，以及北斗导航服务运营商。加快北斗导航产业发展基地建设。集聚一批相互衔接的产业链资源，引进一批龙头骨干企业，培育一批优势特色企业，搭建一批产业公共平台，开展一批北斗导航+融合应用工程，推动形成协同创新、融合集聚的北斗导航与位置服务产业链。</w:t>
      </w:r>
    </w:p>
    <w:p>
      <w:pPr>
        <w:pStyle w:val="5"/>
        <w:rPr>
          <w:rFonts w:ascii="仿宋_GB2312" w:hAnsi="仿宋_GB2312" w:cs="仿宋_GB2312"/>
          <w:color w:val="auto"/>
        </w:rPr>
      </w:pPr>
      <w:bookmarkStart w:id="21" w:name="_Toc13689"/>
      <w:r>
        <w:rPr>
          <w:rFonts w:hint="eastAsia" w:ascii="仿宋_GB2312" w:hAnsi="仿宋_GB2312" w:cs="仿宋_GB2312"/>
          <w:color w:val="auto"/>
        </w:rPr>
        <w:t>（二）重点领域补短板</w:t>
      </w:r>
      <w:bookmarkEnd w:id="21"/>
    </w:p>
    <w:p>
      <w:pPr>
        <w:ind w:firstLine="640"/>
        <w:rPr>
          <w:rFonts w:ascii="仿宋_GB2312" w:hAnsi="仿宋_GB2312" w:cs="仿宋_GB2312"/>
          <w:color w:val="auto"/>
        </w:rPr>
      </w:pPr>
      <w:r>
        <w:rPr>
          <w:rFonts w:hint="eastAsia" w:ascii="仿宋_GB2312" w:hAnsi="仿宋_GB2312" w:cs="仿宋_GB2312"/>
          <w:color w:val="auto"/>
        </w:rPr>
        <w:t>加大对人工智能、大数据、云计算、虚拟现实、数字创意产业的创新能力、基础研究、产品研发、市场开拓、企业集聚等方面的政策资金支持，补链强链完善生态。郑东新区作为国家大数据（河南）综合试验区的核心区，大数据产业初具规模，需深入开展大数据创新应用研究，拓展大数据应用场景，与互联网、物联网、区块链、人工智能等关联企业，引导大数据产业生态链积极主动补齐产品研发链条，努力开拓本地应用市场，从而引领河南省大数据产业加速创新发展。依托“万企上云”计划，加速推进企业用云创新力度、产品开拓力度和企业聚集力度，推进上汽云计算（郑州）中心、海尔虚实网等制造业项目建设，壮大云计算产业规模。加快建设虚拟现实研究院，培育一批具有市场竞争力的虚拟现实企业，在应用场景构建，市场开拓方面探索符合郑州发展模式。数字创意产业突出以创意为核心、设计为驱动、科技为支撑、产品为载体的发展思路，重点围绕内容经济、直播经济和总部经济等市场对象，加速推动产业壮大发展。</w:t>
      </w:r>
    </w:p>
    <w:p>
      <w:pPr>
        <w:rPr>
          <w:rFonts w:ascii="仿宋_GB2312" w:hAnsi="仿宋_GB2312" w:cs="仿宋_GB2312"/>
          <w:color w:val="auto"/>
        </w:rPr>
      </w:pPr>
      <w:r>
        <w:rPr>
          <w:rFonts w:hint="eastAsia" w:ascii="楷体_GB2312" w:hAnsi="楷体_GB2312" w:eastAsia="楷体_GB2312" w:cs="楷体_GB2312"/>
          <w:b/>
          <w:bCs/>
          <w:color w:val="auto"/>
        </w:rPr>
        <w:t>1.人工智能。</w:t>
      </w:r>
      <w:r>
        <w:rPr>
          <w:rFonts w:hint="eastAsia" w:ascii="仿宋_GB2312" w:hAnsi="仿宋_GB2312" w:cs="仿宋_GB2312"/>
          <w:color w:val="auto"/>
        </w:rPr>
        <w:t>研发一批具有感知、理解、行动能力为特征的智能产品，</w:t>
      </w:r>
      <w:r>
        <w:rPr>
          <w:rFonts w:hint="eastAsia" w:ascii="仿宋_GB2312"/>
          <w:color w:val="auto"/>
          <w:szCs w:val="32"/>
        </w:rPr>
        <w:t>构建“车网融合”的车辆智能化平台，推动车载智能设备的研发与应用，形成平台相关标准。全面建设中国（郑州）智能传感谷，进一步做大产业规模，提升智能传感器产业在国内外的竞争力和影响力。加快建设MEMS研发中试平台，突破核心关键技术，引导智能传感器产业组织方式向虚拟集成设计制造（IDM）模式发展，推动产业集群向规模化、高端化发展。</w:t>
      </w:r>
      <w:r>
        <w:rPr>
          <w:rFonts w:hint="eastAsia" w:ascii="仿宋_GB2312" w:hAnsi="仿宋_GB2312" w:cs="仿宋_GB2312"/>
          <w:color w:val="auto"/>
          <w:szCs w:val="32"/>
        </w:rPr>
        <w:t>充分发挥科大讯飞等智能安全龙头企业的引领作用，大力发展传统互联网涉密安全终端产品，加快发展互联网信息内容安全产品，形成产业集聚。</w:t>
      </w:r>
      <w:r>
        <w:rPr>
          <w:rFonts w:hint="eastAsia" w:ascii="仿宋_GB2312" w:hAnsi="仿宋_GB2312" w:cs="仿宋_GB2312"/>
          <w:color w:val="auto"/>
        </w:rPr>
        <w:t>围绕智能机器人关键核心技术和高端产品突破，重点发展特种机器人、服务机器人和工业机器人等，</w:t>
      </w:r>
      <w:r>
        <w:rPr>
          <w:rFonts w:hint="eastAsia" w:ascii="仿宋_GB2312"/>
          <w:color w:val="auto"/>
          <w:szCs w:val="32"/>
        </w:rPr>
        <w:t>形成批量化生产，力争进入国内机器人生产第一梯队。</w:t>
      </w:r>
    </w:p>
    <w:p>
      <w:pPr>
        <w:pStyle w:val="9"/>
        <w:spacing w:before="0"/>
        <w:rPr>
          <w:rFonts w:cs="仿宋_GB2312"/>
          <w:color w:val="auto"/>
        </w:rPr>
      </w:pPr>
      <w:r>
        <w:rPr>
          <w:rFonts w:hint="eastAsia" w:ascii="楷体_GB2312" w:hAnsi="楷体_GB2312" w:eastAsia="楷体_GB2312" w:cs="楷体_GB2312"/>
          <w:b/>
          <w:bCs/>
          <w:color w:val="auto"/>
          <w:szCs w:val="24"/>
        </w:rPr>
        <w:t>2.大数据。</w:t>
      </w:r>
      <w:r>
        <w:rPr>
          <w:rFonts w:hint="eastAsia" w:cs="仿宋_GB2312"/>
          <w:color w:val="auto"/>
        </w:rPr>
        <w:t>大力发展大数据核心产业。围绕应用需求,培育发展专业化的数据采集、存储、加工处理企业,壮大数据采集存储、数据加工处理、数据交易流通等大数据核心产业。加快推进大数据创新应用。推动大数据在各行业、各领域深入应用,提升大数据在产业升级、政府治理和民生服务领域的运用能力,以应用助力大数据产业发展。积极发展大数据关联产业。积极发展智能终端、电子核心基础部件等产业,推进大数据与人工智能、虚拟现实、数字创意的融合应用,推动关联产业与核心产业相互促进、相互融合、协同发展。加强市场主体培育,推进数据资源开放共享,发展大数据创新创业,构建大数据产业发展生态。以国家大数据河南综合试验区建设为契机，打造全国一流的大数据产业中心、数据应用先导区、创新创业集聚区、制度创新先行区，建成引领中部、特色鲜明的国家大数据综合试验区</w:t>
      </w:r>
    </w:p>
    <w:p>
      <w:pPr>
        <w:pStyle w:val="9"/>
        <w:spacing w:before="0"/>
        <w:rPr>
          <w:rFonts w:cs="仿宋_GB2312"/>
          <w:color w:val="auto"/>
        </w:rPr>
      </w:pPr>
      <w:r>
        <w:rPr>
          <w:rFonts w:hint="eastAsia" w:ascii="楷体_GB2312" w:hAnsi="楷体_GB2312" w:eastAsia="楷体_GB2312" w:cs="楷体_GB2312"/>
          <w:b/>
          <w:bCs/>
          <w:color w:val="auto"/>
          <w:szCs w:val="24"/>
        </w:rPr>
        <w:t>3.云计算。</w:t>
      </w:r>
      <w:r>
        <w:rPr>
          <w:rFonts w:hint="eastAsia" w:cs="仿宋_GB2312"/>
          <w:color w:val="auto"/>
        </w:rPr>
        <w:t>扎实推进云计算发展。以国家超级计算郑州中心科研大平台为依托，以中原数据基地、阿里云、腾讯云、百度云、华为云等一批云平台为抓手，不断提升云计算基础软硬件研发能力，为科技创新发展提供强力支撑。推动云计算服务范围。鼓励郑州各行业及大中小企业基础信息系统上云，支持云计算与其他信息技术融合发展，推进IaaS(基础设施即服务）、PaaS(平台即服务）、SaaS(软件即服务）BaaS（区块链即服务）等云服务能力，满足各行业数据服务和创新应用。支持开展“云计算+边缘计算”云边协同模式创新应用。鼓励电子信息制造业、汽车及装备制造业、现代食品、交通运输、远程医疗、在线教育、动漫制作等重点领域开展云边协同试点应用，培育一批可复制的新技术、新业态、新模式，加快企业提质增效换挡增速。</w:t>
      </w:r>
    </w:p>
    <w:p>
      <w:pPr>
        <w:pStyle w:val="9"/>
        <w:spacing w:before="0"/>
        <w:rPr>
          <w:rFonts w:cs="仿宋_GB2312"/>
          <w:color w:val="auto"/>
        </w:rPr>
      </w:pPr>
      <w:r>
        <w:rPr>
          <w:rFonts w:hint="eastAsia" w:ascii="楷体_GB2312" w:hAnsi="楷体_GB2312" w:eastAsia="楷体_GB2312" w:cs="楷体_GB2312"/>
          <w:b/>
          <w:bCs/>
          <w:color w:val="auto"/>
          <w:szCs w:val="24"/>
        </w:rPr>
        <w:t>4.虚拟现实。</w:t>
      </w:r>
      <w:r>
        <w:rPr>
          <w:rFonts w:hint="eastAsia" w:cs="仿宋_GB2312"/>
          <w:color w:val="auto"/>
        </w:rPr>
        <w:t>推进虚拟现实技术创新。顺应5G+VR发展趋势，跟踪VR/AR/MR发展的最新趋势，培育新模式和新业态、充分发挥河南省虚拟现实产业联盟的作用，谋划建设中国（郑州）虚拟现实先进技术研究院、郑州大学虚拟现实研究中心等研发机构。引进和培育中高端虚拟现实专业人才，支持骨干企业做大做强，策划具有较高影响力的高级别虚拟现实会展活动，构建虚拟现实产业协同创新平台，着力打造全省重要的虚拟现实产业基地。加强虚拟现实技术在商业贸易产业的应用，利用VR/AR实现远程看货、网上验仓，提升物流和金融便利化水平，拓展海外运营网络，形成海外园区+境外办事处+海外仓“三位一体”海外运营支撑体系，将郑州打造成为智能商贸引领区。加强虚拟现实、虚拟主播等技术在文化创意产业的应用，促进网络直播、智慧旅游等新型业务发展，促进动漫游戏消费，建设数字创意产业基地，打造“永不落幕”的网上、掌上会展平台。面向信息消费升级需求，以虚拟现实相关产品研发和产业化为基础，打造中部地区智能消费电子产品新零售中心，推动虚拟现实产业集群</w:t>
      </w:r>
      <w:r>
        <w:rPr>
          <w:rFonts w:hint="eastAsia" w:cs="仿宋_GB2312"/>
          <w:color w:val="auto"/>
          <w:lang w:val="en-US" w:eastAsia="zh-CN"/>
        </w:rPr>
        <w:t>化</w:t>
      </w:r>
      <w:r>
        <w:rPr>
          <w:rFonts w:hint="eastAsia" w:cs="仿宋_GB2312"/>
          <w:color w:val="auto"/>
        </w:rPr>
        <w:t>发展。</w:t>
      </w:r>
    </w:p>
    <w:p>
      <w:pPr>
        <w:pStyle w:val="9"/>
        <w:spacing w:before="0"/>
        <w:rPr>
          <w:rFonts w:cs="仿宋_GB2312"/>
          <w:color w:val="auto"/>
        </w:rPr>
      </w:pPr>
      <w:r>
        <w:rPr>
          <w:rFonts w:hint="eastAsia" w:ascii="楷体_GB2312" w:hAnsi="楷体_GB2312" w:eastAsia="楷体_GB2312" w:cs="楷体_GB2312"/>
          <w:b/>
          <w:bCs/>
          <w:color w:val="auto"/>
          <w:szCs w:val="24"/>
        </w:rPr>
        <w:t>5.数字创意。</w:t>
      </w:r>
      <w:r>
        <w:rPr>
          <w:rFonts w:hint="eastAsia" w:cs="仿宋_GB2312"/>
          <w:color w:val="auto"/>
        </w:rPr>
        <w:t>以金水区国家知识产权创意产业园区为核心平台，以中原区芝麻街、郑东新区绿博科技人文小镇、建业电影小镇、二七区建业足球小镇、高新区中原广告产业园区、惠济区动漫产业园区、金水区新媒体产业基地（河南直播电商总部基地）等为特色基地，面向知识产权服务、工业设计、文化创意、动漫产业、数字营销、数字文创、视频制作、直播电商等领域</w:t>
      </w:r>
      <w:r>
        <w:rPr>
          <w:rFonts w:hint="eastAsia" w:cs="仿宋_GB2312"/>
          <w:color w:val="auto"/>
          <w:lang w:eastAsia="zh-CN"/>
        </w:rPr>
        <w:t>，</w:t>
      </w:r>
      <w:r>
        <w:rPr>
          <w:rFonts w:hint="eastAsia" w:cs="仿宋_GB2312"/>
          <w:color w:val="auto"/>
        </w:rPr>
        <w:t>推动数字创意</w:t>
      </w:r>
      <w:r>
        <w:rPr>
          <w:rFonts w:hint="eastAsia" w:cs="仿宋_GB2312"/>
          <w:color w:val="auto"/>
          <w:lang w:val="en-US" w:eastAsia="zh-CN"/>
        </w:rPr>
        <w:t>创新</w:t>
      </w:r>
      <w:r>
        <w:rPr>
          <w:rFonts w:hint="eastAsia" w:cs="仿宋_GB2312"/>
          <w:color w:val="auto"/>
        </w:rPr>
        <w:t>发展。加快提升数字文创影响力。重点支持今日头条（郑州）创作空间、百度百家号（郑州）内容创业中心、快手官方直播基地、郑州魔筷直播基地、优德传媒5G直播基地、河南广播电视台新媒体机构、中原新媒体产业联盟等互联网知名企业以及全省最大融媒体平台，利用数字技术快速制作高质量的文创内容，通过移动互联网渠道快速传播扩散，满足大众需求，形成文化创意传播高产地和策源地。支持动漫企业做强做优。鼓励我市动漫企业开展数字技术与内容创作相结合，利用VR/AR、CG技术、仿真技术等在动画设计制作领域中的集成应用，提高动漫作品的附加值和竞争力，建成国内一流动漫产业先行区。</w:t>
      </w:r>
    </w:p>
    <w:p>
      <w:pPr>
        <w:pStyle w:val="5"/>
        <w:rPr>
          <w:rFonts w:ascii="仿宋_GB2312" w:hAnsi="仿宋_GB2312" w:cs="仿宋_GB2312"/>
          <w:color w:val="auto"/>
        </w:rPr>
      </w:pPr>
      <w:bookmarkStart w:id="22" w:name="_Toc10692"/>
      <w:r>
        <w:rPr>
          <w:rFonts w:hint="eastAsia" w:ascii="仿宋_GB2312" w:hAnsi="仿宋_GB2312" w:cs="仿宋_GB2312"/>
          <w:color w:val="auto"/>
        </w:rPr>
        <w:t>（三）前沿领域谋布局</w:t>
      </w:r>
      <w:bookmarkEnd w:id="22"/>
    </w:p>
    <w:p>
      <w:pPr>
        <w:ind w:firstLine="640"/>
        <w:rPr>
          <w:rFonts w:ascii="仿宋_GB2312" w:hAnsi="仿宋_GB2312" w:cs="仿宋_GB2312"/>
          <w:color w:val="auto"/>
        </w:rPr>
      </w:pPr>
      <w:r>
        <w:rPr>
          <w:rFonts w:hint="eastAsia" w:ascii="仿宋_GB2312" w:hAnsi="仿宋_GB2312" w:cs="仿宋_GB2312"/>
          <w:color w:val="auto"/>
        </w:rPr>
        <w:t>加强对新型互联网、新型通信、集成电路、区块链、新型显示等前沿领域产业的布局，要从引人、引企业、引资金、引应用、引政策等角度，在短时间内谋突破。金水区作为国家网络安全创新应用先进示范区、全国智慧健康养老示范基地，快速引入新型通信技术和区块链等前沿领域基础理论创新人才和领军人才，加大网络安全产品融合创新应用。高新区聚焦智慧产业应用和智慧社会应用，</w:t>
      </w:r>
      <w:r>
        <w:rPr>
          <w:rFonts w:hint="eastAsia" w:ascii="仿宋_GB2312" w:hAnsi="仿宋_GB2312" w:cs="仿宋_GB2312"/>
          <w:color w:val="auto"/>
          <w:szCs w:val="32"/>
        </w:rPr>
        <w:t>探索5G及新型通信技术创新与产业化应用，落地应用场景；</w:t>
      </w:r>
      <w:r>
        <w:rPr>
          <w:rFonts w:hint="eastAsia" w:ascii="仿宋_GB2312" w:hAnsi="仿宋_GB2312" w:cs="仿宋_GB2312"/>
          <w:color w:val="auto"/>
        </w:rPr>
        <w:t>加大企业和资金的引进力度，力争在以量子通信为代表的新型通信技术方面取得重大突破，力争在精密测绘为重点的北斗上应用取得颠覆性突破。郑东新区深挖中原科技城战略机遇，通过更加实惠的产业政策、人才政策，在以车联网为代表的新型互联网技术上提供更多具有覆盖性、典型性、示范性的应用成果。</w:t>
      </w:r>
      <w:r>
        <w:rPr>
          <w:rFonts w:hint="eastAsia" w:ascii="仿宋_GB2312" w:hAnsi="仿宋_GB2312" w:cs="仿宋_GB2312"/>
          <w:color w:val="auto"/>
          <w:lang w:val="en-US" w:eastAsia="zh-CN"/>
        </w:rPr>
        <w:t>郑州</w:t>
      </w:r>
      <w:r>
        <w:rPr>
          <w:rFonts w:hint="eastAsia" w:ascii="仿宋_GB2312" w:hAnsi="仿宋_GB2312" w:cs="仿宋_GB2312"/>
          <w:color w:val="auto"/>
        </w:rPr>
        <w:t>航空港</w:t>
      </w:r>
      <w:r>
        <w:rPr>
          <w:rFonts w:hint="eastAsia" w:ascii="仿宋_GB2312" w:hAnsi="仿宋_GB2312" w:cs="仿宋_GB2312"/>
          <w:color w:val="auto"/>
          <w:lang w:val="en-US" w:eastAsia="zh-CN"/>
        </w:rPr>
        <w:t>实验区</w:t>
      </w:r>
      <w:r>
        <w:rPr>
          <w:rFonts w:hint="eastAsia" w:ascii="仿宋_GB2312" w:hAnsi="仿宋_GB2312" w:cs="仿宋_GB2312"/>
          <w:color w:val="auto"/>
        </w:rPr>
        <w:t>进一步发挥对外开放重要门户和现代航空都市的特色优势，从企业、政策和资金角度谋新意，加大新型显示技术和集成电路的深代工模式。</w:t>
      </w:r>
    </w:p>
    <w:p>
      <w:pPr>
        <w:pStyle w:val="9"/>
        <w:spacing w:before="0"/>
        <w:rPr>
          <w:rFonts w:cs="仿宋_GB2312"/>
          <w:color w:val="auto"/>
        </w:rPr>
      </w:pPr>
      <w:r>
        <w:rPr>
          <w:rFonts w:hint="eastAsia" w:ascii="楷体_GB2312" w:hAnsi="楷体_GB2312" w:eastAsia="楷体_GB2312" w:cs="楷体_GB2312"/>
          <w:b/>
          <w:bCs/>
          <w:color w:val="auto"/>
          <w:szCs w:val="24"/>
        </w:rPr>
        <w:t>1.新型互联网。</w:t>
      </w:r>
      <w:r>
        <w:rPr>
          <w:rFonts w:hint="eastAsia" w:cs="仿宋_GB2312"/>
          <w:color w:val="auto"/>
        </w:rPr>
        <w:t>培养新型互联网技术产业。支持产业互联网、移动互联网、车联网、下一代互联网等产业在体系架构、安全、移动、可扩展性和可控可管性上先行试点示范。推进云计算、大数据、物联网、人工智能、区块链等新型互联网属性和传统消费互联网融合创新。高质量发展新型互联网技术。重视技术源头科技创新和首店应用创新。推动数字经济和实体经济融合创新。依托郑州市科研院所，积极开展产业互联网的研究，依托经开区、中牟汽车产业集聚区、管城宇通工业园、荥阳市4个整车生产聚集区，创新开展工业互联网、车联网试点示范工程，放大网络安全优势效应，提升国家中心城市核心竞争力。</w:t>
      </w:r>
    </w:p>
    <w:p>
      <w:pPr>
        <w:pStyle w:val="9"/>
        <w:spacing w:before="0"/>
        <w:rPr>
          <w:rFonts w:cs="仿宋_GB2312"/>
          <w:color w:val="auto"/>
        </w:rPr>
      </w:pPr>
      <w:r>
        <w:rPr>
          <w:rFonts w:hint="eastAsia" w:ascii="楷体_GB2312" w:hAnsi="楷体_GB2312" w:eastAsia="楷体_GB2312" w:cs="楷体_GB2312"/>
          <w:b/>
          <w:bCs/>
          <w:color w:val="auto"/>
          <w:szCs w:val="24"/>
        </w:rPr>
        <w:t>2.新型通信。</w:t>
      </w:r>
      <w:r>
        <w:rPr>
          <w:rFonts w:hint="eastAsia" w:cs="仿宋_GB2312"/>
          <w:color w:val="auto"/>
        </w:rPr>
        <w:t>开展卫星通信、5G、无线通信、光通信、量子通信等专项研究。在网络通信核心芯片、一体化融合网络、高速光通信设备、未来无线移动通信、量子计算机等方面取得一批突破性成果，参与制定产业标准，开展应用示范，打造完善的技术协同创新体系。加快推进新型通信技术产业，打造5G+光网+WIFI高速网络，开展技术与内容创新，提供高质量网络和信息服务，全面支撑区域国民经济社会发展。加快推进新型通信技术融合应用创新示范工程。推进新型通信技术与VR、工业互联网、车联网、智慧城市、智慧农业和智慧医疗等融合应用。新型通信技术网络基础设施、应用数据、产业支撑等领域安全体系初步建立，提升郑州市对各类新型通信技术在平安中国建设工程中的预防、预测、预警、应急和处置能力。</w:t>
      </w:r>
    </w:p>
    <w:p>
      <w:pPr>
        <w:pStyle w:val="9"/>
        <w:spacing w:before="0"/>
        <w:rPr>
          <w:rFonts w:cs="仿宋_GB2312"/>
          <w:color w:val="auto"/>
        </w:rPr>
      </w:pPr>
      <w:r>
        <w:rPr>
          <w:rFonts w:hint="eastAsia" w:ascii="楷体_GB2312" w:hAnsi="楷体_GB2312" w:eastAsia="楷体_GB2312" w:cs="楷体_GB2312"/>
          <w:b/>
          <w:bCs/>
          <w:color w:val="auto"/>
          <w:szCs w:val="24"/>
        </w:rPr>
        <w:t>3.集成电路。</w:t>
      </w:r>
      <w:r>
        <w:rPr>
          <w:rFonts w:hint="eastAsia" w:cs="仿宋_GB2312"/>
          <w:color w:val="auto"/>
        </w:rPr>
        <w:t>以集成电路骨干企业和科研院所为龙头，加速发展集成电路制造业，提升先进封装测试业发展水平，突破集成电路关键装备和材料。围绕集成电路发展的重点方向，结合郑州市在机械制造、汽车制造、北斗、信息安全芯片等领域发展基础，在物联网、北斗以及工业等应用领域引入芯片设计企业，提升集成电路设计能力。由龙头企业牵头，河南省信息安全基地、高新区及产业链各方联合构建芯片公共测试平台和公共应用平台。充分发挥中国科学院微电子所、中国地质大学(北京)郑州研究院在科研、教育和产业化方面优势，开展聚晶金刚石复合片、半导体新材料、纳米聚晶金刚石等半导体材料方面的研究，努力构建郑州市高端芯片创新研发和产业化集群高地，推动中原城市群集成电路及相关信息产业发展，打造国家前沿电子材料技术创新中心。</w:t>
      </w:r>
    </w:p>
    <w:p>
      <w:pPr>
        <w:pStyle w:val="9"/>
        <w:spacing w:before="0"/>
        <w:rPr>
          <w:rFonts w:cs="仿宋_GB2312"/>
          <w:color w:val="auto"/>
        </w:rPr>
      </w:pPr>
      <w:r>
        <w:rPr>
          <w:rFonts w:hint="eastAsia" w:ascii="楷体_GB2312" w:hAnsi="楷体_GB2312" w:eastAsia="楷体_GB2312" w:cs="楷体_GB2312"/>
          <w:b/>
          <w:bCs/>
          <w:color w:val="auto"/>
          <w:szCs w:val="24"/>
        </w:rPr>
        <w:t>4.区块链。</w:t>
      </w:r>
      <w:r>
        <w:rPr>
          <w:rFonts w:hint="eastAsia" w:cs="仿宋_GB2312"/>
          <w:color w:val="auto"/>
        </w:rPr>
        <w:t>推进区块链技术创新。支持数据安全算法、新型共识机制、智能合约、分布式系统与存储、数据安全共享、跨链技术等核心技术研究，在关键技术上取得重大突破，在行业应用取得重大进展。支持一批创新平台建设，创建国家级、省级区块链技术创新中心。加强区块链基础设施建设，构建支持云链、网链等平台体系。推进区块链+系列工程，赋能数字经济。推进政务共享数据上链工程，创新社会治理模式，加强区块链应用到关键信息基础设施安全检测和监管。培育区块链生态。发挥高等院校、科研院所、产业联盟等优势，推动重大研究成果产业化。支持区块链产业园区建设，优先支持优势区块链实体发展。培育区块链人才、资本、知识等要素市场，扶持一批拥有核心技术或自主知识产权的区块链企业，推动区块链技术在郑州市的创新应用。</w:t>
      </w:r>
    </w:p>
    <w:p>
      <w:pPr>
        <w:pStyle w:val="9"/>
        <w:spacing w:before="0"/>
        <w:rPr>
          <w:color w:val="auto"/>
        </w:rPr>
      </w:pPr>
      <w:r>
        <w:rPr>
          <w:rFonts w:hint="eastAsia" w:ascii="楷体_GB2312" w:hAnsi="楷体_GB2312" w:eastAsia="楷体_GB2312" w:cs="楷体_GB2312"/>
          <w:b/>
          <w:bCs/>
          <w:color w:val="auto"/>
          <w:szCs w:val="24"/>
        </w:rPr>
        <w:t>5.新型显示。</w:t>
      </w:r>
      <w:r>
        <w:rPr>
          <w:rFonts w:hint="eastAsia" w:cs="仿宋_GB2312"/>
          <w:color w:val="auto"/>
        </w:rPr>
        <w:t>围绕智能终端、新能源</w:t>
      </w:r>
      <w:r>
        <w:rPr>
          <w:rFonts w:hint="eastAsia" w:cs="仿宋_GB2312"/>
          <w:color w:val="auto"/>
          <w:lang w:val="en-US" w:eastAsia="zh-CN"/>
        </w:rPr>
        <w:t>及智能网联</w:t>
      </w:r>
      <w:r>
        <w:rPr>
          <w:rFonts w:hint="eastAsia" w:cs="仿宋_GB2312"/>
          <w:color w:val="auto"/>
        </w:rPr>
        <w:t>汽车、高端装备</w:t>
      </w:r>
      <w:r>
        <w:rPr>
          <w:rFonts w:hint="eastAsia" w:cs="仿宋_GB2312"/>
          <w:color w:val="auto"/>
          <w:lang w:val="en-US" w:eastAsia="zh-CN"/>
        </w:rPr>
        <w:t>制造</w:t>
      </w:r>
      <w:r>
        <w:rPr>
          <w:rFonts w:hint="eastAsia" w:cs="仿宋_GB2312"/>
          <w:color w:val="auto"/>
        </w:rPr>
        <w:t>等产业需求，引导企业加大投入，重点发展新型显示、液晶面板等基础电子产品；加快推动低温多晶硅技术、量子点发光二极管、微发光二极管以及蒸镀和封装关键工艺突破和产业化，形成一批具有自主知识产权的精细高端创新产品和服务业态，谋划建设河南新型显示先进技术研究院等研发机构。以新型显示面板项目建设为导向，加大新型显示面板系列化产品的开发力度，促进产业链延伸，积极发展玻璃基板、彩色滤光片等上游关键材料，形成联动生产平台；打造尺寸齐全、类型多样、技术一流的新型显示全产业链条；着力培育国际先进的新型显示产业集群，推动形成新型显示和智能终端联动发展格局，在</w:t>
      </w:r>
      <w:r>
        <w:rPr>
          <w:rFonts w:hint="eastAsia" w:cs="仿宋_GB2312"/>
          <w:color w:val="auto"/>
          <w:lang w:val="en-US" w:eastAsia="zh-CN"/>
        </w:rPr>
        <w:t>郑州</w:t>
      </w:r>
      <w:r>
        <w:rPr>
          <w:rFonts w:hint="eastAsia" w:cs="仿宋_GB2312"/>
          <w:color w:val="auto"/>
        </w:rPr>
        <w:t>航空港实验区谋划建设新型显示产业园。</w:t>
      </w:r>
    </w:p>
    <w:p>
      <w:pPr>
        <w:pStyle w:val="4"/>
        <w:ind w:firstLine="640"/>
        <w:rPr>
          <w:color w:val="auto"/>
        </w:rPr>
      </w:pPr>
      <w:bookmarkStart w:id="23" w:name="_Toc24754"/>
      <w:r>
        <w:rPr>
          <w:rFonts w:hint="eastAsia"/>
          <w:color w:val="auto"/>
        </w:rPr>
        <w:t>五、主要任务</w:t>
      </w:r>
      <w:bookmarkEnd w:id="23"/>
    </w:p>
    <w:p>
      <w:pPr>
        <w:ind w:firstLine="640"/>
        <w:rPr>
          <w:rFonts w:ascii="仿宋_GB2312" w:hAnsi="仿宋_GB2312" w:cs="仿宋_GB2312"/>
          <w:color w:val="auto"/>
        </w:rPr>
      </w:pPr>
      <w:r>
        <w:rPr>
          <w:rFonts w:hint="eastAsia" w:ascii="仿宋_GB2312" w:hAnsi="仿宋_GB2312" w:cs="仿宋_GB2312"/>
          <w:color w:val="auto"/>
        </w:rPr>
        <w:t>以构建全产业链为抓手，科学谋划产业布局，营造产业发展生态，激发产业发展新动能</w:t>
      </w:r>
      <w:r>
        <w:rPr>
          <w:rFonts w:hint="eastAsia" w:ascii="仿宋_GB2312" w:hAnsi="仿宋_GB2312" w:cs="仿宋_GB2312"/>
          <w:color w:val="auto"/>
          <w:lang w:eastAsia="zh-CN"/>
        </w:rPr>
        <w:t>。</w:t>
      </w:r>
      <w:r>
        <w:rPr>
          <w:rFonts w:hint="eastAsia" w:ascii="仿宋_GB2312" w:hAnsi="仿宋_GB2312" w:cs="仿宋_GB2312"/>
          <w:color w:val="auto"/>
        </w:rPr>
        <w:t>支持多形态产业合作，加大项目落地力度，加快</w:t>
      </w:r>
      <w:r>
        <w:rPr>
          <w:rFonts w:hint="eastAsia" w:ascii="仿宋_GB2312" w:hAnsi="仿宋_GB2312" w:cs="仿宋_GB2312"/>
          <w:color w:val="auto"/>
          <w:lang w:val="en-US" w:eastAsia="zh-CN"/>
        </w:rPr>
        <w:t>新一代信息技术产业领域</w:t>
      </w:r>
      <w:r>
        <w:rPr>
          <w:rFonts w:hint="eastAsia" w:ascii="仿宋_GB2312" w:hAnsi="仿宋_GB2312" w:cs="仿宋_GB2312"/>
          <w:color w:val="auto"/>
        </w:rPr>
        <w:t>单项冠军</w:t>
      </w:r>
      <w:r>
        <w:rPr>
          <w:rFonts w:hint="eastAsia" w:ascii="仿宋_GB2312" w:hAnsi="仿宋_GB2312" w:cs="仿宋_GB2312"/>
          <w:color w:val="auto"/>
          <w:lang w:val="en-US" w:eastAsia="zh-CN"/>
        </w:rPr>
        <w:t>企业和专精特新企业的</w:t>
      </w:r>
      <w:r>
        <w:rPr>
          <w:rFonts w:hint="eastAsia" w:ascii="仿宋_GB2312" w:hAnsi="仿宋_GB2312" w:cs="仿宋_GB2312"/>
          <w:color w:val="auto"/>
        </w:rPr>
        <w:t>培育，提升成长型企业</w:t>
      </w:r>
      <w:r>
        <w:rPr>
          <w:rFonts w:hint="eastAsia" w:ascii="仿宋_GB2312" w:hAnsi="仿宋_GB2312" w:cs="仿宋_GB2312"/>
          <w:color w:val="auto"/>
          <w:lang w:val="en-US" w:eastAsia="zh-CN"/>
        </w:rPr>
        <w:t>创新发展</w:t>
      </w:r>
      <w:r>
        <w:rPr>
          <w:rFonts w:hint="eastAsia" w:ascii="仿宋_GB2312" w:hAnsi="仿宋_GB2312" w:cs="仿宋_GB2312"/>
          <w:color w:val="auto"/>
        </w:rPr>
        <w:t>能力；注重</w:t>
      </w:r>
      <w:r>
        <w:rPr>
          <w:rFonts w:hint="eastAsia" w:ascii="仿宋_GB2312" w:hAnsi="仿宋_GB2312" w:cs="仿宋_GB2312"/>
          <w:color w:val="auto"/>
          <w:lang w:val="en-US" w:eastAsia="zh-CN"/>
        </w:rPr>
        <w:t>基础</w:t>
      </w:r>
      <w:r>
        <w:rPr>
          <w:rFonts w:hint="eastAsia" w:ascii="仿宋_GB2312" w:hAnsi="仿宋_GB2312" w:cs="仿宋_GB2312"/>
          <w:color w:val="auto"/>
        </w:rPr>
        <w:t>创新，重组重点实验室体系，强化企业创新主体地位，健全用人机制，提升源头创新能力；促进新一代信息技术与实体经济、行业经济深度融合，加强集成创新与应用创新，打造产业融合发展态势；</w:t>
      </w:r>
      <w:r>
        <w:rPr>
          <w:rFonts w:hint="eastAsia" w:ascii="仿宋_GB2312" w:hAnsi="仿宋_GB2312" w:cs="仿宋_GB2312"/>
          <w:color w:val="auto"/>
          <w:lang w:val="en-US" w:eastAsia="zh-CN"/>
        </w:rPr>
        <w:t>建设</w:t>
      </w:r>
      <w:r>
        <w:rPr>
          <w:rFonts w:hint="eastAsia" w:ascii="仿宋_GB2312" w:hAnsi="仿宋_GB2312" w:cs="仿宋_GB2312"/>
          <w:color w:val="auto"/>
        </w:rPr>
        <w:t>创新孵化平台，加大科技创新支持力度，实施人才工程战略，构筑产业创新发展环境。</w:t>
      </w:r>
    </w:p>
    <w:p>
      <w:pPr>
        <w:pStyle w:val="5"/>
        <w:rPr>
          <w:color w:val="auto"/>
        </w:rPr>
      </w:pPr>
      <w:bookmarkStart w:id="24" w:name="_Toc29867"/>
      <w:r>
        <w:rPr>
          <w:rFonts w:hint="eastAsia"/>
          <w:color w:val="auto"/>
        </w:rPr>
        <w:t>（一）着力激发产业发展动能</w:t>
      </w:r>
      <w:bookmarkEnd w:id="24"/>
    </w:p>
    <w:p>
      <w:pPr>
        <w:ind w:firstLine="640"/>
        <w:rPr>
          <w:rFonts w:ascii="仿宋_GB2312" w:hAnsi="仿宋_GB2312" w:cs="仿宋_GB2312"/>
          <w:color w:val="auto"/>
        </w:rPr>
      </w:pPr>
      <w:r>
        <w:rPr>
          <w:rFonts w:hint="eastAsia" w:ascii="仿宋_GB2312" w:hAnsi="仿宋_GB2312" w:cs="仿宋_GB2312"/>
          <w:color w:val="auto"/>
        </w:rPr>
        <w:t>围绕新一代信息技术，以“产业基础高级化、产业链现代化”为主线，以构建全产业链为抓手，发挥郑州大都市区的区位、人才和产业基础优势，突出产业链上下游和区域协同发展，形成新一代信息技术产业集群化、链条式发展格局。科学谋划产业布局，坚持全产业链发展思路，重点引进一批在相关产业链中具有核心地位和带动作用的龙头企业，加强配套企业引进与培育，形成梯次分明、错位发展、融合互动、区域协同、特色化集聚的发展格局。着力构建一流营商环境，营造“重商、亲商、爱商、尊商、富商、安商”的浓厚氛围；构建产业链、资金链、人才链、技术链、政策链、服务链“六链合一”的产业发展生态，激发产业发展新动能，全面提升产业自主创新、融合发展、区域协同和可持续发展能力。</w:t>
      </w:r>
    </w:p>
    <w:p>
      <w:pPr>
        <w:pStyle w:val="29"/>
        <w:rPr>
          <w:color w:val="auto"/>
        </w:rPr>
      </w:pPr>
    </w:p>
    <w:tbl>
      <w:tblPr>
        <w:tblStyle w:val="23"/>
        <w:tblW w:w="8585" w:type="dxa"/>
        <w:jc w:val="center"/>
        <w:shd w:val="clear" w:color="auto" w:fill="FFFFFF"/>
        <w:tblLayout w:type="fixed"/>
        <w:tblCellMar>
          <w:top w:w="15" w:type="dxa"/>
          <w:left w:w="15" w:type="dxa"/>
          <w:bottom w:w="15" w:type="dxa"/>
          <w:right w:w="15" w:type="dxa"/>
        </w:tblCellMar>
      </w:tblPr>
      <w:tblGrid>
        <w:gridCol w:w="8585"/>
      </w:tblGrid>
      <w:tr>
        <w:tblPrEx>
          <w:tblCellMar>
            <w:top w:w="15" w:type="dxa"/>
            <w:left w:w="15" w:type="dxa"/>
            <w:bottom w:w="15" w:type="dxa"/>
            <w:right w:w="15" w:type="dxa"/>
          </w:tblCellMar>
        </w:tblPrEx>
        <w:trPr>
          <w:jc w:val="center"/>
        </w:trPr>
        <w:tc>
          <w:tcPr>
            <w:tcW w:w="858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72" w:after="72" w:line="320" w:lineRule="atLeast"/>
              <w:ind w:firstLine="562"/>
              <w:jc w:val="center"/>
              <w:rPr>
                <w:rFonts w:ascii="宋体" w:hAnsi="宋体" w:eastAsia="宋体" w:cs="宋体"/>
                <w:color w:val="auto"/>
                <w:sz w:val="28"/>
                <w:szCs w:val="28"/>
              </w:rPr>
            </w:pPr>
            <w:r>
              <w:rPr>
                <w:rFonts w:hint="eastAsia" w:ascii="黑体" w:hAnsi="黑体" w:eastAsia="黑体" w:cs="黑体"/>
                <w:b w:val="0"/>
                <w:bCs w:val="0"/>
                <w:color w:val="auto"/>
                <w:kern w:val="0"/>
                <w:sz w:val="28"/>
                <w:szCs w:val="28"/>
                <w:lang w:bidi="ar"/>
              </w:rPr>
              <w:t>专栏5-</w:t>
            </w:r>
            <w:r>
              <w:rPr>
                <w:rFonts w:hint="eastAsia" w:ascii="黑体" w:hAnsi="黑体" w:eastAsia="黑体" w:cs="黑体"/>
                <w:b w:val="0"/>
                <w:bCs w:val="0"/>
                <w:color w:val="auto"/>
                <w:kern w:val="0"/>
                <w:sz w:val="28"/>
                <w:szCs w:val="28"/>
                <w:lang w:val="en-US" w:eastAsia="zh-CN" w:bidi="ar"/>
              </w:rPr>
              <w:t xml:space="preserve">1  </w:t>
            </w:r>
            <w:r>
              <w:rPr>
                <w:rFonts w:hint="eastAsia" w:ascii="黑体" w:hAnsi="黑体" w:eastAsia="黑体" w:cs="黑体"/>
                <w:b w:val="0"/>
                <w:bCs w:val="0"/>
                <w:color w:val="auto"/>
                <w:kern w:val="0"/>
                <w:sz w:val="28"/>
                <w:szCs w:val="28"/>
                <w:lang w:bidi="ar"/>
              </w:rPr>
              <w:t>培育产业新动能</w:t>
            </w:r>
          </w:p>
        </w:tc>
      </w:tr>
      <w:tr>
        <w:tblPrEx>
          <w:shd w:val="clear" w:color="auto" w:fill="FFFFFF"/>
          <w:tblCellMar>
            <w:top w:w="15" w:type="dxa"/>
            <w:left w:w="15" w:type="dxa"/>
            <w:bottom w:w="15" w:type="dxa"/>
            <w:right w:w="15" w:type="dxa"/>
          </w:tblCellMar>
        </w:tblPrEx>
        <w:trPr>
          <w:jc w:val="center"/>
        </w:trPr>
        <w:tc>
          <w:tcPr>
            <w:tcW w:w="858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22"/>
              <w:widowControl/>
              <w:shd w:val="clear" w:color="auto" w:fill="FFFFFF"/>
              <w:spacing w:beforeAutospacing="0" w:afterAutospacing="0" w:line="500" w:lineRule="exact"/>
              <w:ind w:firstLine="0" w:firstLineChars="0"/>
              <w:rPr>
                <w:rFonts w:ascii="仿宋_GB2312" w:hAnsi="仿宋_GB2312" w:cs="仿宋_GB2312"/>
                <w:color w:val="auto"/>
                <w:kern w:val="2"/>
                <w:sz w:val="28"/>
                <w:szCs w:val="28"/>
              </w:rPr>
            </w:pPr>
            <w:r>
              <w:rPr>
                <w:rFonts w:hint="eastAsia" w:ascii="仿宋_GB2312" w:hAnsi="仿宋_GB2312" w:cs="仿宋_GB2312"/>
                <w:b/>
                <w:bCs/>
                <w:color w:val="auto"/>
                <w:sz w:val="28"/>
                <w:szCs w:val="28"/>
              </w:rPr>
              <w:t>1.培育重点产业集群。</w:t>
            </w:r>
            <w:r>
              <w:rPr>
                <w:rFonts w:hint="eastAsia" w:ascii="仿宋_GB2312" w:hAnsi="仿宋_GB2312" w:cs="仿宋_GB2312"/>
                <w:color w:val="auto"/>
                <w:kern w:val="2"/>
                <w:sz w:val="28"/>
                <w:szCs w:val="28"/>
                <w:lang w:val="en"/>
              </w:rPr>
              <w:t>紧抓住我</w:t>
            </w:r>
            <w:r>
              <w:rPr>
                <w:rFonts w:hint="eastAsia" w:ascii="仿宋_GB2312" w:hAnsi="仿宋_GB2312" w:cs="仿宋_GB2312"/>
                <w:color w:val="auto"/>
                <w:kern w:val="2"/>
                <w:sz w:val="28"/>
                <w:szCs w:val="28"/>
              </w:rPr>
              <w:t>市</w:t>
            </w:r>
            <w:r>
              <w:rPr>
                <w:rFonts w:hint="eastAsia" w:ascii="仿宋_GB2312" w:hAnsi="仿宋_GB2312" w:cs="仿宋_GB2312"/>
                <w:color w:val="auto"/>
                <w:kern w:val="2"/>
                <w:sz w:val="28"/>
                <w:szCs w:val="28"/>
                <w:lang w:val="en"/>
              </w:rPr>
              <w:t>历史性窗口期和战略性机遇期，在人工智能、大数据与云计算、物联网、软件及信息服务等新兴产业，新型显示、集成电路、通讯设备及整机等基础产业，</w:t>
            </w:r>
            <w:r>
              <w:rPr>
                <w:rFonts w:hint="eastAsia" w:ascii="仿宋_GB2312" w:hAnsi="仿宋_GB2312" w:cs="仿宋_GB2312"/>
                <w:color w:val="auto"/>
                <w:kern w:val="2"/>
                <w:sz w:val="28"/>
                <w:szCs w:val="28"/>
              </w:rPr>
              <w:t>依托我市各开发区，不断完善服务功能、配套设施，提升承载能力，建设一批具有较高品牌知名度和产业集聚度的信息技术产业园区（基地）和特色小镇，突出区域特色，整合资源要素，打造具有我市特色的产业集群。</w:t>
            </w:r>
          </w:p>
          <w:p>
            <w:pPr>
              <w:pStyle w:val="22"/>
              <w:widowControl/>
              <w:shd w:val="clear" w:color="auto" w:fill="FFFFFF"/>
              <w:spacing w:beforeAutospacing="0" w:afterAutospacing="0" w:line="500" w:lineRule="exact"/>
              <w:ind w:firstLine="0" w:firstLineChars="0"/>
              <w:jc w:val="both"/>
              <w:rPr>
                <w:rFonts w:ascii="仿宋_GB2312" w:hAnsi="仿宋_GB2312" w:cs="仿宋_GB2312"/>
                <w:color w:val="auto"/>
                <w:sz w:val="28"/>
                <w:szCs w:val="28"/>
              </w:rPr>
            </w:pPr>
            <w:r>
              <w:rPr>
                <w:rFonts w:hint="eastAsia" w:ascii="仿宋_GB2312" w:hAnsi="仿宋_GB2312" w:cs="仿宋_GB2312"/>
                <w:b/>
                <w:bCs/>
                <w:color w:val="auto"/>
                <w:sz w:val="28"/>
                <w:szCs w:val="28"/>
              </w:rPr>
              <w:t>2.推进本地产业配套。</w:t>
            </w:r>
            <w:r>
              <w:rPr>
                <w:rFonts w:hint="eastAsia" w:ascii="仿宋_GB2312" w:hAnsi="仿宋_GB2312" w:cs="仿宋_GB2312"/>
                <w:color w:val="auto"/>
                <w:sz w:val="28"/>
                <w:szCs w:val="28"/>
              </w:rPr>
              <w:t>加快中小培育一批中小型配套企业，引导龙头企业在本地配套，鼓励本地企业主动为龙头企业配套，打造产业配套能力强、集聚程度高、市场容量大、集成创新活力足的新一代信息技术产业链，极大程度地丰富产品种类，强化产品关联度，实现新一代信息技术产业的链式聚集和联动发展。</w:t>
            </w:r>
          </w:p>
          <w:p>
            <w:pPr>
              <w:pStyle w:val="22"/>
              <w:widowControl/>
              <w:shd w:val="clear" w:color="auto" w:fill="FFFFFF"/>
              <w:spacing w:beforeAutospacing="0" w:afterAutospacing="0" w:line="500" w:lineRule="exact"/>
              <w:ind w:firstLine="0" w:firstLineChars="0"/>
              <w:jc w:val="both"/>
              <w:rPr>
                <w:rFonts w:ascii="宋体" w:hAnsi="宋体" w:eastAsia="宋体" w:cs="宋体"/>
                <w:color w:val="auto"/>
                <w:sz w:val="28"/>
                <w:szCs w:val="28"/>
              </w:rPr>
            </w:pPr>
            <w:r>
              <w:rPr>
                <w:rFonts w:hint="eastAsia" w:ascii="仿宋_GB2312" w:hAnsi="仿宋_GB2312" w:cs="仿宋_GB2312"/>
                <w:b/>
                <w:bCs/>
                <w:color w:val="auto"/>
                <w:sz w:val="28"/>
                <w:szCs w:val="28"/>
              </w:rPr>
              <w:t>3.实施产业链精准招商。</w:t>
            </w:r>
            <w:r>
              <w:rPr>
                <w:rFonts w:hint="eastAsia" w:ascii="仿宋_GB2312" w:hAnsi="仿宋_GB2312" w:cs="仿宋_GB2312"/>
                <w:color w:val="auto"/>
                <w:sz w:val="28"/>
                <w:szCs w:val="28"/>
              </w:rPr>
              <w:t>重点瞄准与我市产业关系密切的区域和国内知名大型新一代信息技术企业，进一步明确招商引资重点城市、重点企业，积极开展精准招商，着力引进一批投资规模大、科技含量高、发展前景好的项目。通过重大产业化项目的带动，加快产业集聚，形成产业集群发展的重要支撑。</w:t>
            </w:r>
          </w:p>
        </w:tc>
      </w:tr>
    </w:tbl>
    <w:p>
      <w:pPr>
        <w:pStyle w:val="5"/>
        <w:rPr>
          <w:color w:val="auto"/>
        </w:rPr>
      </w:pPr>
      <w:bookmarkStart w:id="25" w:name="_Toc29161"/>
      <w:r>
        <w:rPr>
          <w:rFonts w:hint="eastAsia"/>
          <w:color w:val="auto"/>
        </w:rPr>
        <w:t>（二）加快高成长性企业培育</w:t>
      </w:r>
      <w:bookmarkEnd w:id="25"/>
    </w:p>
    <w:p>
      <w:pPr>
        <w:ind w:firstLine="640"/>
        <w:rPr>
          <w:rFonts w:ascii="仿宋_GB2312" w:hAnsi="仿宋_GB2312" w:cs="仿宋_GB2312"/>
          <w:color w:val="auto"/>
          <w:szCs w:val="32"/>
        </w:rPr>
      </w:pPr>
      <w:r>
        <w:rPr>
          <w:rFonts w:hint="eastAsia" w:ascii="仿宋_GB2312" w:hAnsi="仿宋_GB2312" w:cs="仿宋_GB2312"/>
          <w:color w:val="auto"/>
        </w:rPr>
        <w:t>壮大龙头骨干企业实力，支持骨干企业开展强强联合、上下游整合等多种形式的产业合作，形成以大企业集团为核心、中小企业分工协作的产业组织形态。鼓励和支持本土企业通过股权、资产收购等多种形式实施并购重组，促进重点产业组团式、集群式发展。积极引进集成电路先进制造工艺、高端电子元器件、智能传感器、新型显示等重点企业和重大项目落户。重点培育一批“独角兽”“瞪羚”企业，壮大一批创新能力强、掌握核心技术的“专精特新”中小企业，逐步成长为专业细分领域的单项冠军。对本土潜力型企业，实现重点环节、重点供给要素的全覆盖培育，推动本土企业成为高质量创新发展的主力军。鼓励以龙头企业牵头，联合多方力量成立产业技术联盟，加快核心技术攻关，加快实现技术产业化，推出具备全球竞争力的产品。大力支持上下游成长型企业发展，提高专业化生产、服务和协作配套能力，为产业链提供配套产品和配套服务。</w:t>
      </w:r>
    </w:p>
    <w:tbl>
      <w:tblPr>
        <w:tblStyle w:val="23"/>
        <w:tblW w:w="8318" w:type="dxa"/>
        <w:jc w:val="center"/>
        <w:shd w:val="clear" w:color="auto" w:fill="FFFFFF"/>
        <w:tblLayout w:type="fixed"/>
        <w:tblCellMar>
          <w:top w:w="15" w:type="dxa"/>
          <w:left w:w="15" w:type="dxa"/>
          <w:bottom w:w="15" w:type="dxa"/>
          <w:right w:w="15" w:type="dxa"/>
        </w:tblCellMar>
      </w:tblPr>
      <w:tblGrid>
        <w:gridCol w:w="8318"/>
      </w:tblGrid>
      <w:tr>
        <w:tblPrEx>
          <w:shd w:val="clear" w:color="auto" w:fill="FFFFFF"/>
          <w:tblCellMar>
            <w:top w:w="15" w:type="dxa"/>
            <w:left w:w="15" w:type="dxa"/>
            <w:bottom w:w="15" w:type="dxa"/>
            <w:right w:w="15" w:type="dxa"/>
          </w:tblCellMar>
        </w:tblPrEx>
        <w:trPr>
          <w:jc w:val="center"/>
        </w:trPr>
        <w:tc>
          <w:tcPr>
            <w:tcW w:w="8318"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72" w:after="72" w:line="320" w:lineRule="atLeast"/>
              <w:ind w:firstLine="560"/>
              <w:jc w:val="center"/>
              <w:rPr>
                <w:rFonts w:eastAsia="黑体"/>
                <w:color w:val="auto"/>
                <w:sz w:val="24"/>
              </w:rPr>
            </w:pPr>
            <w:r>
              <w:rPr>
                <w:rFonts w:hint="eastAsia" w:ascii="黑体" w:hAnsi="黑体" w:eastAsia="黑体" w:cs="黑体"/>
                <w:b w:val="0"/>
                <w:bCs w:val="0"/>
                <w:color w:val="auto"/>
                <w:kern w:val="0"/>
                <w:sz w:val="28"/>
                <w:szCs w:val="28"/>
                <w:lang w:bidi="ar"/>
              </w:rPr>
              <w:t>专栏5-2</w:t>
            </w:r>
            <w:r>
              <w:rPr>
                <w:rFonts w:hint="eastAsia" w:ascii="黑体" w:hAnsi="黑体" w:eastAsia="黑体" w:cs="黑体"/>
                <w:b w:val="0"/>
                <w:bCs w:val="0"/>
                <w:color w:val="auto"/>
                <w:kern w:val="0"/>
                <w:sz w:val="28"/>
                <w:szCs w:val="28"/>
                <w:lang w:val="en-US" w:eastAsia="zh-CN" w:bidi="ar"/>
              </w:rPr>
              <w:t xml:space="preserve">  强化</w:t>
            </w:r>
            <w:r>
              <w:rPr>
                <w:rFonts w:hint="eastAsia" w:ascii="黑体" w:hAnsi="黑体" w:eastAsia="黑体" w:cs="黑体"/>
                <w:b w:val="0"/>
                <w:bCs w:val="0"/>
                <w:color w:val="auto"/>
                <w:kern w:val="0"/>
                <w:sz w:val="28"/>
                <w:szCs w:val="28"/>
                <w:lang w:bidi="ar"/>
              </w:rPr>
              <w:t>市场主体培育</w:t>
            </w:r>
          </w:p>
        </w:tc>
      </w:tr>
      <w:tr>
        <w:tblPrEx>
          <w:shd w:val="clear" w:color="auto" w:fill="FFFFFF"/>
          <w:tblCellMar>
            <w:top w:w="15" w:type="dxa"/>
            <w:left w:w="15" w:type="dxa"/>
            <w:bottom w:w="15" w:type="dxa"/>
            <w:right w:w="15" w:type="dxa"/>
          </w:tblCellMar>
        </w:tblPrEx>
        <w:trPr>
          <w:jc w:val="center"/>
        </w:trPr>
        <w:tc>
          <w:tcPr>
            <w:tcW w:w="8318"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22"/>
              <w:spacing w:beforeAutospacing="0" w:afterAutospacing="0" w:line="500" w:lineRule="exact"/>
              <w:ind w:firstLine="0" w:firstLineChars="0"/>
              <w:rPr>
                <w:rFonts w:ascii="仿宋_GB2312" w:hAnsi="仿宋_GB2312" w:cs="仿宋_GB2312"/>
                <w:color w:val="auto"/>
                <w:sz w:val="28"/>
                <w:szCs w:val="28"/>
                <w:lang w:val="en"/>
              </w:rPr>
            </w:pPr>
            <w:r>
              <w:rPr>
                <w:rFonts w:hint="eastAsia" w:ascii="仿宋_GB2312" w:hAnsi="仿宋_GB2312" w:cs="仿宋_GB2312"/>
                <w:b/>
                <w:bCs/>
                <w:color w:val="auto"/>
                <w:sz w:val="28"/>
                <w:szCs w:val="28"/>
              </w:rPr>
              <w:t>1.</w:t>
            </w:r>
            <w:r>
              <w:rPr>
                <w:rFonts w:hint="eastAsia" w:ascii="仿宋_GB2312" w:hAnsi="仿宋_GB2312" w:cs="仿宋_GB2312"/>
                <w:b/>
                <w:bCs/>
                <w:color w:val="auto"/>
                <w:sz w:val="28"/>
                <w:szCs w:val="28"/>
                <w:lang w:val="en"/>
              </w:rPr>
              <w:t>引进一批企业入驻发展。</w:t>
            </w:r>
            <w:r>
              <w:rPr>
                <w:rFonts w:hint="eastAsia" w:ascii="仿宋_GB2312" w:hAnsi="仿宋_GB2312" w:cs="仿宋_GB2312"/>
                <w:color w:val="auto"/>
                <w:sz w:val="28"/>
                <w:szCs w:val="28"/>
                <w:lang w:val="en-US" w:eastAsia="zh-CN"/>
              </w:rPr>
              <w:t>围绕新一代信息技术产业需求，</w:t>
            </w:r>
            <w:r>
              <w:rPr>
                <w:rFonts w:hint="eastAsia" w:ascii="仿宋_GB2312" w:hAnsi="仿宋_GB2312" w:cs="仿宋_GB2312"/>
                <w:color w:val="auto"/>
                <w:sz w:val="28"/>
                <w:szCs w:val="28"/>
                <w:lang w:val="en"/>
              </w:rPr>
              <w:t>在人工智能、大数据与云计算、物联网、软件及信息服务等新兴产业，新型显示、集成电路、通讯设备及整机等基础产业，引进一批电子信息百强、软件百强、互联网百强、元器件百强等国内外知名电子信息企业，促进产业集聚发展。202</w:t>
            </w:r>
            <w:r>
              <w:rPr>
                <w:rFonts w:hint="eastAsia" w:ascii="仿宋_GB2312" w:hAnsi="仿宋_GB2312" w:cs="仿宋_GB2312"/>
                <w:color w:val="auto"/>
                <w:sz w:val="28"/>
                <w:szCs w:val="28"/>
              </w:rPr>
              <w:t>5</w:t>
            </w:r>
            <w:r>
              <w:rPr>
                <w:rFonts w:hint="eastAsia" w:ascii="仿宋_GB2312" w:hAnsi="仿宋_GB2312" w:cs="仿宋_GB2312"/>
                <w:color w:val="auto"/>
                <w:sz w:val="28"/>
                <w:szCs w:val="28"/>
                <w:lang w:val="en"/>
              </w:rPr>
              <w:t>年，引进</w:t>
            </w:r>
            <w:r>
              <w:rPr>
                <w:rFonts w:hint="eastAsia" w:ascii="仿宋_GB2312" w:hAnsi="仿宋_GB2312" w:cs="仿宋_GB2312"/>
                <w:color w:val="auto"/>
                <w:sz w:val="28"/>
                <w:szCs w:val="28"/>
              </w:rPr>
              <w:t>2</w:t>
            </w:r>
            <w:r>
              <w:rPr>
                <w:rFonts w:hint="eastAsia" w:ascii="仿宋_GB2312" w:hAnsi="仿宋_GB2312" w:cs="仿宋_GB2312"/>
                <w:color w:val="auto"/>
                <w:sz w:val="28"/>
                <w:szCs w:val="28"/>
                <w:lang w:val="en"/>
              </w:rPr>
              <w:t>0家以上国内外知名企业入驻发展。</w:t>
            </w:r>
          </w:p>
          <w:p>
            <w:pPr>
              <w:pStyle w:val="22"/>
              <w:spacing w:beforeAutospacing="0" w:afterAutospacing="0" w:line="500" w:lineRule="exact"/>
              <w:ind w:firstLine="0" w:firstLineChars="0"/>
              <w:rPr>
                <w:rFonts w:ascii="仿宋_GB2312" w:hAnsi="仿宋_GB2312" w:cs="仿宋_GB2312"/>
                <w:color w:val="auto"/>
                <w:sz w:val="28"/>
                <w:szCs w:val="28"/>
                <w:lang w:val="en"/>
              </w:rPr>
            </w:pPr>
            <w:r>
              <w:rPr>
                <w:rFonts w:hint="eastAsia" w:ascii="仿宋_GB2312" w:hAnsi="仿宋_GB2312" w:cs="仿宋_GB2312"/>
                <w:b/>
                <w:bCs/>
                <w:color w:val="auto"/>
                <w:sz w:val="28"/>
                <w:szCs w:val="28"/>
              </w:rPr>
              <w:t>2.</w:t>
            </w:r>
            <w:r>
              <w:rPr>
                <w:rFonts w:hint="eastAsia" w:ascii="仿宋_GB2312" w:hAnsi="仿宋_GB2312" w:cs="仿宋_GB2312"/>
                <w:b/>
                <w:bCs/>
                <w:color w:val="auto"/>
                <w:sz w:val="28"/>
                <w:szCs w:val="28"/>
                <w:lang w:val="en"/>
              </w:rPr>
              <w:t>培育中小企业加快成长。</w:t>
            </w:r>
            <w:r>
              <w:rPr>
                <w:rFonts w:hint="eastAsia" w:ascii="仿宋_GB2312" w:hAnsi="仿宋_GB2312" w:cs="仿宋_GB2312"/>
                <w:color w:val="auto"/>
                <w:sz w:val="28"/>
                <w:szCs w:val="28"/>
                <w:lang w:val="en"/>
              </w:rPr>
              <w:t>加大“专精特新”中小企业培育力度，支持特色企业专注行业细分市场，围绕技术协作研发、产业链配套、市场开拓等与行业龙头开展多种形式合作，培育一批细分行业“单项冠军”。202</w:t>
            </w:r>
            <w:r>
              <w:rPr>
                <w:rFonts w:hint="eastAsia" w:ascii="仿宋_GB2312" w:hAnsi="仿宋_GB2312" w:cs="仿宋_GB2312"/>
                <w:color w:val="auto"/>
                <w:sz w:val="28"/>
                <w:szCs w:val="28"/>
              </w:rPr>
              <w:t>5</w:t>
            </w:r>
            <w:r>
              <w:rPr>
                <w:rFonts w:hint="eastAsia" w:ascii="仿宋_GB2312" w:hAnsi="仿宋_GB2312" w:cs="仿宋_GB2312"/>
                <w:color w:val="auto"/>
                <w:sz w:val="28"/>
                <w:szCs w:val="28"/>
                <w:lang w:val="en"/>
              </w:rPr>
              <w:t>年，新培育上市挂牌企业</w:t>
            </w:r>
            <w:r>
              <w:rPr>
                <w:rFonts w:hint="eastAsia" w:ascii="仿宋_GB2312" w:hAnsi="仿宋_GB2312" w:cs="仿宋_GB2312"/>
                <w:color w:val="auto"/>
                <w:sz w:val="28"/>
                <w:szCs w:val="28"/>
              </w:rPr>
              <w:t>20</w:t>
            </w:r>
            <w:r>
              <w:rPr>
                <w:rFonts w:hint="eastAsia" w:ascii="仿宋_GB2312" w:hAnsi="仿宋_GB2312" w:cs="仿宋_GB2312"/>
                <w:color w:val="auto"/>
                <w:sz w:val="28"/>
                <w:szCs w:val="28"/>
                <w:lang w:val="en"/>
              </w:rPr>
              <w:t>家以上，实现“优中做强”，形成大中小微企业协同共生的产业生态。</w:t>
            </w:r>
          </w:p>
          <w:p>
            <w:pPr>
              <w:pStyle w:val="22"/>
              <w:spacing w:beforeAutospacing="0" w:afterAutospacing="0" w:line="500" w:lineRule="exact"/>
              <w:ind w:firstLine="0" w:firstLineChars="0"/>
              <w:rPr>
                <w:color w:val="auto"/>
                <w:sz w:val="21"/>
                <w:szCs w:val="21"/>
              </w:rPr>
            </w:pPr>
            <w:r>
              <w:rPr>
                <w:rFonts w:hint="eastAsia" w:ascii="仿宋_GB2312" w:hAnsi="仿宋_GB2312" w:cs="仿宋_GB2312"/>
                <w:b/>
                <w:bCs/>
                <w:color w:val="auto"/>
                <w:sz w:val="28"/>
                <w:szCs w:val="28"/>
              </w:rPr>
              <w:t>3.</w:t>
            </w:r>
            <w:r>
              <w:rPr>
                <w:rFonts w:hint="eastAsia" w:ascii="仿宋_GB2312" w:hAnsi="仿宋_GB2312" w:cs="仿宋_GB2312"/>
                <w:b/>
                <w:bCs/>
                <w:color w:val="auto"/>
                <w:sz w:val="28"/>
                <w:szCs w:val="28"/>
                <w:lang w:val="en"/>
              </w:rPr>
              <w:t>培育具有核心竞争力的企业集群。</w:t>
            </w:r>
            <w:r>
              <w:rPr>
                <w:rFonts w:hint="eastAsia" w:ascii="仿宋_GB2312" w:hAnsi="仿宋_GB2312" w:cs="仿宋_GB2312"/>
                <w:color w:val="auto"/>
                <w:sz w:val="28"/>
                <w:szCs w:val="28"/>
                <w:lang w:val="en"/>
              </w:rPr>
              <w:t>依托</w:t>
            </w:r>
            <w:r>
              <w:rPr>
                <w:rFonts w:hint="eastAsia" w:ascii="仿宋_GB2312" w:hAnsi="仿宋_GB2312" w:cs="仿宋_GB2312"/>
                <w:color w:val="auto"/>
                <w:sz w:val="28"/>
                <w:szCs w:val="28"/>
              </w:rPr>
              <w:t>航空港区、郑东新区、</w:t>
            </w:r>
            <w:r>
              <w:rPr>
                <w:rFonts w:hint="eastAsia" w:ascii="仿宋_GB2312" w:hAnsi="仿宋_GB2312" w:cs="仿宋_GB2312"/>
                <w:color w:val="auto"/>
                <w:sz w:val="28"/>
                <w:szCs w:val="28"/>
                <w:lang w:val="en"/>
              </w:rPr>
              <w:t>高新区、经济技术开发区和</w:t>
            </w:r>
            <w:r>
              <w:rPr>
                <w:rFonts w:hint="eastAsia" w:ascii="仿宋_GB2312" w:hAnsi="仿宋_GB2312" w:cs="仿宋_GB2312"/>
                <w:color w:val="auto"/>
                <w:sz w:val="28"/>
                <w:szCs w:val="28"/>
              </w:rPr>
              <w:t>金水区</w:t>
            </w:r>
            <w:r>
              <w:rPr>
                <w:rFonts w:hint="eastAsia" w:ascii="仿宋_GB2312" w:hAnsi="仿宋_GB2312" w:cs="仿宋_GB2312"/>
                <w:color w:val="auto"/>
                <w:sz w:val="28"/>
                <w:szCs w:val="28"/>
                <w:lang w:val="en"/>
              </w:rPr>
              <w:t>等重点园区，招引一批5G智能终端、集成电路芯片、人工智能相关硬件、信息安全终端以及大数据应用等领域大型企业，打造5G、集成电路、人工智能、信息安全、大数据、</w:t>
            </w:r>
            <w:r>
              <w:rPr>
                <w:rFonts w:hint="eastAsia" w:ascii="仿宋_GB2312" w:hAnsi="仿宋_GB2312" w:cs="仿宋_GB2312"/>
                <w:color w:val="auto"/>
                <w:sz w:val="28"/>
                <w:szCs w:val="28"/>
              </w:rPr>
              <w:t>物联网</w:t>
            </w:r>
            <w:r>
              <w:rPr>
                <w:rFonts w:hint="eastAsia" w:ascii="仿宋_GB2312" w:hAnsi="仿宋_GB2312" w:cs="仿宋_GB2312"/>
                <w:color w:val="auto"/>
                <w:sz w:val="28"/>
                <w:szCs w:val="28"/>
                <w:lang w:val="en"/>
              </w:rPr>
              <w:t>等产业龙头企业集聚优势。</w:t>
            </w:r>
          </w:p>
        </w:tc>
      </w:tr>
    </w:tbl>
    <w:p>
      <w:pPr>
        <w:pStyle w:val="5"/>
        <w:rPr>
          <w:color w:val="auto"/>
        </w:rPr>
      </w:pPr>
      <w:bookmarkStart w:id="26" w:name="_Toc25696"/>
      <w:r>
        <w:rPr>
          <w:rFonts w:hint="eastAsia"/>
          <w:color w:val="auto"/>
        </w:rPr>
        <w:t>（三）全面提升源头创新能力</w:t>
      </w:r>
      <w:bookmarkEnd w:id="26"/>
    </w:p>
    <w:p>
      <w:pPr>
        <w:ind w:firstLine="640"/>
        <w:rPr>
          <w:rFonts w:ascii="仿宋" w:hAnsi="仿宋" w:cs="黑体"/>
          <w:color w:val="auto"/>
          <w:szCs w:val="32"/>
        </w:rPr>
      </w:pPr>
      <w:r>
        <w:rPr>
          <w:rFonts w:hint="eastAsia" w:ascii="仿宋_GB2312" w:hAnsi="仿宋_GB2312" w:cs="仿宋_GB2312"/>
          <w:color w:val="auto"/>
        </w:rPr>
        <w:t>注重原始创新，优化本地高校学科布局，瞄准人工智能、量子技术、集成电路、信息安全、大数据和5G等前沿领域，实施一批服务国家战略的重大科技专项项目。积极推进</w:t>
      </w:r>
      <w:r>
        <w:rPr>
          <w:rFonts w:hint="eastAsia" w:ascii="仿宋_GB2312" w:hAnsi="仿宋_GB2312" w:cs="仿宋_GB2312"/>
          <w:color w:val="auto"/>
          <w:lang w:val="en-US" w:eastAsia="zh-CN"/>
        </w:rPr>
        <w:t>嵩山实验室、黄河实验室等</w:t>
      </w:r>
      <w:r>
        <w:rPr>
          <w:rFonts w:hint="eastAsia" w:ascii="仿宋_GB2312" w:hAnsi="仿宋_GB2312" w:cs="仿宋_GB2312"/>
          <w:color w:val="auto"/>
        </w:rPr>
        <w:t>国家实验室建设，谋划组建省级重点实验室，重组郑州市重点实验室体系。聚焦产业核心技术攻关</w:t>
      </w:r>
      <w:r>
        <w:rPr>
          <w:rFonts w:hint="eastAsia" w:ascii="仿宋_GB2312" w:hAnsi="仿宋_GB2312" w:cs="仿宋_GB2312"/>
          <w:color w:val="auto"/>
          <w:lang w:eastAsia="zh-CN"/>
        </w:rPr>
        <w:t>，</w:t>
      </w:r>
      <w:r>
        <w:rPr>
          <w:rFonts w:hint="eastAsia" w:ascii="仿宋_GB2312" w:hAnsi="仿宋_GB2312" w:cs="仿宋_GB2312"/>
          <w:color w:val="auto"/>
        </w:rPr>
        <w:t>强化企业创新主体地位，支持企业牵头组建河南省创新技术中心，承担国家、省、市级重大科技项目。开展重点领域产学研试点示范，通过强力措施促进本地创新要素向企业聚集，引领产业技术生态健康发展。健全人才创新机制。加大郑州信大先进技术研究院、郑州大学先进技术研究院、中原工学院前沿信息技术研究院等在机制改革、评价体系、资金支持力度。支持国内领军人物在我市成立前沿新型技术研究院或新型研发机构，造就更多本土的国内先进、国际知名的科技领军人才和创新团队。</w:t>
      </w:r>
    </w:p>
    <w:tbl>
      <w:tblPr>
        <w:tblStyle w:val="23"/>
        <w:tblW w:w="8578" w:type="dxa"/>
        <w:jc w:val="center"/>
        <w:shd w:val="clear" w:color="auto" w:fill="FFFFFF"/>
        <w:tblLayout w:type="fixed"/>
        <w:tblCellMar>
          <w:top w:w="15" w:type="dxa"/>
          <w:left w:w="15" w:type="dxa"/>
          <w:bottom w:w="15" w:type="dxa"/>
          <w:right w:w="15" w:type="dxa"/>
        </w:tblCellMar>
      </w:tblPr>
      <w:tblGrid>
        <w:gridCol w:w="8578"/>
      </w:tblGrid>
      <w:tr>
        <w:tblPrEx>
          <w:tblCellMar>
            <w:top w:w="15" w:type="dxa"/>
            <w:left w:w="15" w:type="dxa"/>
            <w:bottom w:w="15" w:type="dxa"/>
            <w:right w:w="15" w:type="dxa"/>
          </w:tblCellMar>
        </w:tblPrEx>
        <w:trPr>
          <w:trHeight w:val="556" w:hRule="atLeast"/>
          <w:jc w:val="center"/>
        </w:trPr>
        <w:tc>
          <w:tcPr>
            <w:tcW w:w="8578"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72" w:after="72" w:line="320" w:lineRule="atLeast"/>
              <w:ind w:firstLine="0" w:firstLineChars="0"/>
              <w:jc w:val="center"/>
              <w:rPr>
                <w:rFonts w:eastAsia="黑体"/>
                <w:color w:val="auto"/>
                <w:sz w:val="24"/>
              </w:rPr>
            </w:pPr>
            <w:r>
              <w:rPr>
                <w:rFonts w:hint="eastAsia" w:ascii="黑体" w:hAnsi="黑体" w:eastAsia="黑体" w:cs="黑体"/>
                <w:b w:val="0"/>
                <w:bCs w:val="0"/>
                <w:color w:val="auto"/>
                <w:kern w:val="0"/>
                <w:sz w:val="28"/>
                <w:szCs w:val="28"/>
                <w:lang w:bidi="ar"/>
              </w:rPr>
              <w:t>专栏5-3</w:t>
            </w:r>
            <w:r>
              <w:rPr>
                <w:rFonts w:hint="eastAsia" w:ascii="黑体" w:hAnsi="黑体" w:eastAsia="黑体" w:cs="黑体"/>
                <w:b w:val="0"/>
                <w:bCs w:val="0"/>
                <w:color w:val="auto"/>
                <w:kern w:val="0"/>
                <w:sz w:val="28"/>
                <w:szCs w:val="28"/>
                <w:lang w:val="en-US" w:eastAsia="zh-CN" w:bidi="ar"/>
              </w:rPr>
              <w:t xml:space="preserve">  推动</w:t>
            </w:r>
            <w:r>
              <w:rPr>
                <w:rFonts w:hint="eastAsia" w:ascii="黑体" w:hAnsi="黑体" w:eastAsia="黑体" w:cs="黑体"/>
                <w:b w:val="0"/>
                <w:bCs w:val="0"/>
                <w:color w:val="auto"/>
                <w:kern w:val="0"/>
                <w:sz w:val="28"/>
                <w:szCs w:val="28"/>
                <w:lang w:bidi="ar"/>
              </w:rPr>
              <w:t>创新平台建设</w:t>
            </w:r>
          </w:p>
        </w:tc>
      </w:tr>
      <w:tr>
        <w:tblPrEx>
          <w:shd w:val="clear" w:color="auto" w:fill="FFFFFF"/>
          <w:tblCellMar>
            <w:top w:w="15" w:type="dxa"/>
            <w:left w:w="15" w:type="dxa"/>
            <w:bottom w:w="15" w:type="dxa"/>
            <w:right w:w="15" w:type="dxa"/>
          </w:tblCellMar>
        </w:tblPrEx>
        <w:trPr>
          <w:trHeight w:val="547" w:hRule="atLeast"/>
          <w:jc w:val="center"/>
        </w:trPr>
        <w:tc>
          <w:tcPr>
            <w:tcW w:w="8578"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22"/>
              <w:spacing w:beforeAutospacing="0" w:afterAutospacing="0" w:line="500" w:lineRule="exact"/>
              <w:ind w:firstLine="0" w:firstLineChars="0"/>
              <w:rPr>
                <w:rFonts w:ascii="仿宋_GB2312" w:hAnsi="仿宋_GB2312" w:cs="仿宋_GB2312"/>
                <w:color w:val="auto"/>
                <w:sz w:val="28"/>
                <w:szCs w:val="28"/>
                <w:lang w:val="en"/>
              </w:rPr>
            </w:pPr>
            <w:r>
              <w:rPr>
                <w:rFonts w:hint="eastAsia" w:ascii="仿宋_GB2312" w:hAnsi="仿宋_GB2312" w:cs="仿宋_GB2312"/>
                <w:b/>
                <w:bCs/>
                <w:color w:val="auto"/>
                <w:sz w:val="28"/>
                <w:szCs w:val="28"/>
              </w:rPr>
              <w:t>1.</w:t>
            </w:r>
            <w:r>
              <w:rPr>
                <w:rFonts w:hint="eastAsia" w:ascii="仿宋_GB2312" w:hAnsi="仿宋_GB2312" w:cs="仿宋_GB2312"/>
                <w:b/>
                <w:bCs/>
                <w:color w:val="auto"/>
                <w:sz w:val="28"/>
                <w:szCs w:val="28"/>
                <w:lang w:val="en"/>
              </w:rPr>
              <w:t>国家网络安全创新应用先进示范区。</w:t>
            </w:r>
            <w:r>
              <w:rPr>
                <w:rFonts w:hint="eastAsia" w:ascii="仿宋_GB2312" w:hAnsi="仿宋_GB2312" w:cs="仿宋_GB2312"/>
                <w:color w:val="auto"/>
                <w:sz w:val="28"/>
                <w:szCs w:val="28"/>
                <w:lang w:val="en"/>
              </w:rPr>
              <w:t>郑州金水科教园区聚焦自主研发、安全可控,重点发展网络安全、工业互联网安全、车联网安全等方向。作为河南省、郑州市两级信息安全产业示范基地,园区已集聚科大讯飞、安天信息等20余家国内信息安全龙头企业区域总部和金惠科技、信大捷安、山谷网安等40余家省内信息安全龙头企业;拥有国家、省、市级创新平台73个;获批国家级试点示范项目多个;设立河南省可信计算等多家院士工作站;网络安全产业集群专利申请量突破1000件;信息安全企业规模占园区企业体量半数以上,初步形成安全芯片+安全软件+安全终端+安全平台+安全服务的产业链条,产业支撑力强劲。</w:t>
            </w:r>
          </w:p>
          <w:p>
            <w:pPr>
              <w:pStyle w:val="22"/>
              <w:spacing w:beforeAutospacing="0" w:afterAutospacing="0" w:line="500" w:lineRule="exact"/>
              <w:ind w:firstLine="0" w:firstLineChars="0"/>
              <w:rPr>
                <w:rFonts w:ascii="仿宋_GB2312" w:hAnsi="仿宋_GB2312" w:cs="仿宋_GB2312"/>
                <w:color w:val="auto"/>
                <w:sz w:val="28"/>
                <w:szCs w:val="28"/>
              </w:rPr>
            </w:pPr>
            <w:r>
              <w:rPr>
                <w:rFonts w:hint="eastAsia" w:ascii="仿宋_GB2312" w:hAnsi="仿宋_GB2312" w:cs="仿宋_GB2312"/>
                <w:b/>
                <w:bCs/>
                <w:color w:val="auto"/>
                <w:sz w:val="28"/>
                <w:szCs w:val="28"/>
              </w:rPr>
              <w:t>2.郑洛新国家自主创新示范区产业共性关键技术创新与转化平台。</w:t>
            </w:r>
            <w:r>
              <w:rPr>
                <w:rFonts w:hint="eastAsia" w:ascii="仿宋_GB2312" w:hAnsi="仿宋_GB2312" w:cs="仿宋_GB2312"/>
                <w:color w:val="auto"/>
                <w:sz w:val="28"/>
                <w:szCs w:val="28"/>
              </w:rPr>
              <w:t>发挥郑洛新国家自主创新示范区在产业发展、技术创新、政策先行、体制引领等方面的优势，到2025年，攻克一批制约产业发展的卡脖子技术；累计转化新技术、形成新成果50项以上；引进培养10个以上高端人才团队；新培育30家以上创新型企业；新培育2-3个创新型产业集群，打造1-2个千亿级产业。</w:t>
            </w:r>
          </w:p>
          <w:p>
            <w:pPr>
              <w:pStyle w:val="22"/>
              <w:spacing w:beforeAutospacing="0" w:afterAutospacing="0" w:line="500" w:lineRule="exact"/>
              <w:ind w:firstLine="0" w:firstLineChars="0"/>
              <w:rPr>
                <w:rFonts w:ascii="仿宋_GB2312" w:hAnsi="仿宋_GB2312" w:cs="仿宋_GB2312"/>
                <w:color w:val="auto"/>
                <w:sz w:val="28"/>
                <w:szCs w:val="28"/>
              </w:rPr>
            </w:pPr>
            <w:r>
              <w:rPr>
                <w:rFonts w:hint="eastAsia" w:ascii="仿宋_GB2312" w:hAnsi="仿宋_GB2312" w:cs="仿宋_GB2312"/>
                <w:b/>
                <w:bCs/>
                <w:color w:val="auto"/>
                <w:sz w:val="28"/>
                <w:szCs w:val="28"/>
              </w:rPr>
              <w:t>3.郑州信大先进技术研究院。</w:t>
            </w:r>
            <w:r>
              <w:rPr>
                <w:rFonts w:hint="eastAsia" w:ascii="仿宋_GB2312" w:hAnsi="仿宋_GB2312" w:cs="仿宋_GB2312"/>
                <w:color w:val="auto"/>
                <w:sz w:val="28"/>
                <w:szCs w:val="28"/>
              </w:rPr>
              <w:t>研究院主要围绕网络通信、北斗导航、信息安全、测绘遥感、智慧城市、人工智能、大数据、物联网等领域和方向，深入开展基础性、前瞻性、战略性理论技术研究和应用系统开发、产品研制等工作，努力建设成为国家和地方新兴产业技术升级的“加速器”、国防和军队军事先进技术跨越发展的“助推器”和大学综合实力提升的“倍增器”。</w:t>
            </w:r>
          </w:p>
          <w:p>
            <w:pPr>
              <w:pStyle w:val="22"/>
              <w:spacing w:beforeAutospacing="0" w:afterAutospacing="0" w:line="500" w:lineRule="exact"/>
              <w:ind w:firstLine="0" w:firstLineChars="0"/>
              <w:rPr>
                <w:rFonts w:ascii="仿宋_GB2312" w:hAnsi="仿宋_GB2312" w:cs="仿宋_GB2312"/>
                <w:color w:val="auto"/>
                <w:sz w:val="28"/>
                <w:szCs w:val="28"/>
              </w:rPr>
            </w:pPr>
            <w:r>
              <w:rPr>
                <w:rFonts w:hint="eastAsia" w:ascii="仿宋_GB2312" w:hAnsi="仿宋_GB2312" w:cs="仿宋_GB2312"/>
                <w:b/>
                <w:bCs/>
                <w:color w:val="auto"/>
                <w:sz w:val="28"/>
                <w:szCs w:val="28"/>
              </w:rPr>
              <w:t>4.创新公共服务及共享平台。</w:t>
            </w:r>
            <w:r>
              <w:rPr>
                <w:rFonts w:hint="eastAsia" w:ascii="仿宋_GB2312" w:hAnsi="仿宋_GB2312" w:cs="仿宋_GB2312"/>
                <w:color w:val="auto"/>
                <w:sz w:val="28"/>
                <w:szCs w:val="28"/>
              </w:rPr>
              <w:t>搭建新一代信息技术创新公共服务平台、大型测试仪器设备共享平台、数据交换和信息安全平台、产业发展研究与对外交流服务平台等一批公共服务平台，着力推动产业链上下游配套资源整合、集聚，培育一批具有创新能力的龙头骨干企业和健康向上的创新氛围。</w:t>
            </w:r>
          </w:p>
          <w:p>
            <w:pPr>
              <w:pStyle w:val="22"/>
              <w:spacing w:beforeAutospacing="0" w:afterAutospacing="0" w:line="500" w:lineRule="exact"/>
              <w:ind w:firstLine="0" w:firstLineChars="0"/>
              <w:rPr>
                <w:rFonts w:ascii="仿宋" w:hAnsi="仿宋" w:cs="仿宋"/>
                <w:color w:val="auto"/>
                <w:sz w:val="28"/>
                <w:szCs w:val="28"/>
              </w:rPr>
            </w:pPr>
            <w:r>
              <w:rPr>
                <w:rFonts w:hint="eastAsia" w:ascii="仿宋_GB2312" w:hAnsi="仿宋_GB2312" w:cs="仿宋_GB2312"/>
                <w:b/>
                <w:bCs/>
                <w:color w:val="auto"/>
                <w:sz w:val="28"/>
                <w:szCs w:val="28"/>
              </w:rPr>
              <w:t>5.网络信息安全重大基础设施群。</w:t>
            </w:r>
            <w:r>
              <w:rPr>
                <w:rFonts w:hint="eastAsia" w:ascii="仿宋_GB2312" w:hAnsi="仿宋_GB2312" w:cs="仿宋_GB2312"/>
                <w:color w:val="auto"/>
                <w:sz w:val="28"/>
                <w:szCs w:val="28"/>
              </w:rPr>
              <w:t>建设三大国家级赋能平台（国家安全漏洞挖掘众测方案分发公共服务运营平台、大数据协同安全技术国家工程实验室、国家大数据安全实战演练靶场）和六大国家级能力中心（网络安全公共服务中心、国家反欺诈中心、国家信创适配安全检测中心、安全大数据中心、国家网络安全人才培养中心、工控云互联网中心。）打造“安全大脑”，构建出完善的网络安全产业生态，形成集聚</w:t>
            </w:r>
            <w:r>
              <w:rPr>
                <w:rFonts w:hint="eastAsia" w:ascii="仿宋_GB2312" w:hAnsi="仿宋_GB2312" w:cs="仿宋_GB2312"/>
                <w:color w:val="auto"/>
                <w:sz w:val="28"/>
                <w:szCs w:val="28"/>
                <w:lang w:val="en-US" w:eastAsia="zh-CN"/>
              </w:rPr>
              <w:t>发展</w:t>
            </w:r>
            <w:r>
              <w:rPr>
                <w:rFonts w:hint="eastAsia" w:ascii="仿宋_GB2312" w:hAnsi="仿宋_GB2312" w:cs="仿宋_GB2312"/>
                <w:color w:val="auto"/>
                <w:sz w:val="28"/>
                <w:szCs w:val="28"/>
              </w:rPr>
              <w:t>的网络安全产业格局和网络安全人才培养体系。</w:t>
            </w:r>
          </w:p>
        </w:tc>
      </w:tr>
    </w:tbl>
    <w:p>
      <w:pPr>
        <w:pStyle w:val="5"/>
        <w:rPr>
          <w:color w:val="auto"/>
        </w:rPr>
      </w:pPr>
      <w:bookmarkStart w:id="27" w:name="_Toc19794"/>
      <w:r>
        <w:rPr>
          <w:rFonts w:hint="eastAsia"/>
          <w:color w:val="auto"/>
        </w:rPr>
        <w:t>（四）打造产业融合发展态势</w:t>
      </w:r>
      <w:bookmarkEnd w:id="27"/>
    </w:p>
    <w:p>
      <w:pPr>
        <w:ind w:firstLine="640"/>
        <w:rPr>
          <w:rFonts w:ascii="仿宋_GB2312" w:hAnsi="仿宋_GB2312" w:cs="仿宋_GB2312"/>
          <w:color w:val="auto"/>
        </w:rPr>
      </w:pPr>
      <w:r>
        <w:rPr>
          <w:rFonts w:hint="eastAsia" w:ascii="仿宋_GB2312" w:hAnsi="仿宋_GB2312" w:cs="仿宋_GB2312"/>
          <w:color w:val="auto"/>
        </w:rPr>
        <w:t>促进工业互联网与制造业融合创新。推动云计算、大数据、物联网、人工智能和制造业深度融合，深化“5G+制造业”发展工业互联网，开展工业大数据挖掘、分析和应用，促进制造业数字化转型升级和提质增效，形成“数据驱动”的制造业大数据中心。推动云计算、大数据、物联网、人工智能等新一代信息技术与行业深度融合，大力推广云计算的“云边协同”模式应用领域，利用边缘节点计算及时处理现场问题，云端负责对数据传输监控和边缘设备使用进行管理，有效提升工业效率和产品质量。北斗导航+新技术创新。支持北斗与5G通信、卫星移动通信、人工智能等领域及终端的融合应用技术创新，大力发展融合大数据、云计算、互联网、物联网等技术的导航位置服务，加强集成创新与应用模式创新。</w:t>
      </w:r>
    </w:p>
    <w:tbl>
      <w:tblPr>
        <w:tblStyle w:val="23"/>
        <w:tblW w:w="8240" w:type="dxa"/>
        <w:jc w:val="center"/>
        <w:shd w:val="clear" w:color="auto" w:fill="FFFFFF"/>
        <w:tblLayout w:type="fixed"/>
        <w:tblCellMar>
          <w:top w:w="15" w:type="dxa"/>
          <w:left w:w="15" w:type="dxa"/>
          <w:bottom w:w="15" w:type="dxa"/>
          <w:right w:w="15" w:type="dxa"/>
        </w:tblCellMar>
      </w:tblPr>
      <w:tblGrid>
        <w:gridCol w:w="8240"/>
      </w:tblGrid>
      <w:tr>
        <w:tblPrEx>
          <w:shd w:val="clear" w:color="auto" w:fill="FFFFFF"/>
          <w:tblCellMar>
            <w:top w:w="15" w:type="dxa"/>
            <w:left w:w="15" w:type="dxa"/>
            <w:bottom w:w="15" w:type="dxa"/>
            <w:right w:w="15" w:type="dxa"/>
          </w:tblCellMar>
        </w:tblPrEx>
        <w:trPr>
          <w:trHeight w:val="556" w:hRule="atLeast"/>
          <w:jc w:val="center"/>
        </w:trPr>
        <w:tc>
          <w:tcPr>
            <w:tcW w:w="824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72" w:after="72" w:line="320" w:lineRule="atLeast"/>
              <w:ind w:firstLine="560"/>
              <w:jc w:val="center"/>
              <w:rPr>
                <w:rFonts w:hint="eastAsia" w:eastAsia="黑体"/>
                <w:color w:val="auto"/>
                <w:sz w:val="24"/>
                <w:lang w:val="en-US" w:eastAsia="zh-CN"/>
              </w:rPr>
            </w:pPr>
            <w:r>
              <w:rPr>
                <w:rFonts w:ascii="黑体" w:hAnsi="宋体" w:eastAsia="黑体" w:cs="黑体"/>
                <w:color w:val="auto"/>
                <w:kern w:val="0"/>
                <w:sz w:val="28"/>
                <w:szCs w:val="28"/>
                <w:lang w:bidi="ar"/>
              </w:rPr>
              <w:t>专栏</w:t>
            </w:r>
            <w:r>
              <w:rPr>
                <w:rFonts w:hint="eastAsia" w:ascii="黑体" w:hAnsi="宋体" w:eastAsia="黑体" w:cs="黑体"/>
                <w:color w:val="auto"/>
                <w:kern w:val="0"/>
                <w:sz w:val="28"/>
                <w:szCs w:val="28"/>
                <w:lang w:bidi="ar"/>
              </w:rPr>
              <w:t>5-4</w:t>
            </w:r>
            <w:r>
              <w:rPr>
                <w:rFonts w:hint="eastAsia" w:ascii="黑体" w:hAnsi="宋体" w:eastAsia="黑体" w:cs="黑体"/>
                <w:color w:val="auto"/>
                <w:kern w:val="0"/>
                <w:sz w:val="28"/>
                <w:szCs w:val="28"/>
                <w:lang w:val="en-US" w:eastAsia="zh-CN" w:bidi="ar"/>
              </w:rPr>
              <w:t xml:space="preserve">  推动</w:t>
            </w:r>
            <w:r>
              <w:rPr>
                <w:rFonts w:hint="eastAsia" w:ascii="黑体" w:hAnsi="宋体" w:eastAsia="黑体" w:cs="黑体"/>
                <w:color w:val="auto"/>
                <w:kern w:val="0"/>
                <w:sz w:val="28"/>
                <w:szCs w:val="28"/>
                <w:lang w:bidi="ar"/>
              </w:rPr>
              <w:t>融合创新</w:t>
            </w:r>
            <w:r>
              <w:rPr>
                <w:rFonts w:hint="eastAsia" w:ascii="黑体" w:hAnsi="宋体" w:eastAsia="黑体" w:cs="黑体"/>
                <w:color w:val="auto"/>
                <w:kern w:val="0"/>
                <w:sz w:val="28"/>
                <w:szCs w:val="28"/>
                <w:lang w:val="en-US" w:eastAsia="zh-CN" w:bidi="ar"/>
              </w:rPr>
              <w:t>发展</w:t>
            </w:r>
          </w:p>
        </w:tc>
      </w:tr>
      <w:tr>
        <w:tblPrEx>
          <w:shd w:val="clear" w:color="auto" w:fill="FFFFFF"/>
          <w:tblCellMar>
            <w:top w:w="15" w:type="dxa"/>
            <w:left w:w="15" w:type="dxa"/>
            <w:bottom w:w="15" w:type="dxa"/>
            <w:right w:w="15" w:type="dxa"/>
          </w:tblCellMar>
        </w:tblPrEx>
        <w:trPr>
          <w:trHeight w:val="406" w:hRule="atLeast"/>
          <w:jc w:val="center"/>
        </w:trPr>
        <w:tc>
          <w:tcPr>
            <w:tcW w:w="824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22"/>
              <w:adjustRightInd w:val="0"/>
              <w:snapToGrid w:val="0"/>
              <w:spacing w:beforeAutospacing="0" w:afterAutospacing="0" w:line="500" w:lineRule="exact"/>
              <w:ind w:firstLine="0" w:firstLineChars="0"/>
              <w:rPr>
                <w:rFonts w:ascii="仿宋_GB2312" w:hAnsi="仿宋_GB2312" w:cs="仿宋_GB2312"/>
                <w:color w:val="auto"/>
                <w:sz w:val="28"/>
                <w:szCs w:val="28"/>
                <w:lang w:val="en"/>
              </w:rPr>
            </w:pPr>
            <w:r>
              <w:rPr>
                <w:rFonts w:hint="eastAsia" w:ascii="仿宋_GB2312" w:hAnsi="仿宋_GB2312" w:cs="仿宋_GB2312"/>
                <w:b/>
                <w:bCs/>
                <w:color w:val="auto"/>
                <w:sz w:val="28"/>
                <w:szCs w:val="28"/>
              </w:rPr>
              <w:t>1.5G+工业互联网平台建设。</w:t>
            </w:r>
            <w:r>
              <w:rPr>
                <w:rFonts w:hint="eastAsia" w:ascii="仿宋_GB2312" w:hAnsi="仿宋_GB2312" w:cs="仿宋_GB2312"/>
                <w:color w:val="auto"/>
                <w:sz w:val="28"/>
                <w:szCs w:val="28"/>
              </w:rPr>
              <w:t>以郑州煤机液压电控有限公司“煤矿智能开采工业互联网平台”，郑州天迈科技股份有限公司“车辆能源管理工业互联网平台”，郑州宇通客车股份有限公司“宇通商用车智联平台”，郑州金惠计算机系统工程有限公司“制造产业链质量协同检测工业互联网平台”，汉威科技集团股份有限公司“智能传感器工业互联网平台”等省级平台为核心，探索5G+工业互联网融合行业应用，打造新技术新业态新模式。</w:t>
            </w:r>
          </w:p>
          <w:p>
            <w:pPr>
              <w:pStyle w:val="22"/>
              <w:adjustRightInd w:val="0"/>
              <w:snapToGrid w:val="0"/>
              <w:spacing w:beforeAutospacing="0" w:afterAutospacing="0" w:line="500" w:lineRule="exact"/>
              <w:ind w:firstLine="0" w:firstLineChars="0"/>
              <w:rPr>
                <w:rFonts w:ascii="仿宋_GB2312" w:hAnsi="仿宋_GB2312" w:cs="仿宋_GB2312"/>
                <w:color w:val="auto"/>
                <w:sz w:val="28"/>
                <w:szCs w:val="28"/>
              </w:rPr>
            </w:pPr>
            <w:r>
              <w:rPr>
                <w:rFonts w:hint="eastAsia" w:ascii="仿宋_GB2312" w:hAnsi="仿宋_GB2312" w:cs="仿宋_GB2312"/>
                <w:b/>
                <w:bCs/>
                <w:color w:val="auto"/>
                <w:sz w:val="28"/>
                <w:szCs w:val="28"/>
              </w:rPr>
              <w:t>2.制造业大数据中心建设。</w:t>
            </w:r>
            <w:r>
              <w:rPr>
                <w:rFonts w:hint="eastAsia" w:ascii="仿宋_GB2312" w:hAnsi="仿宋_GB2312" w:cs="仿宋_GB2312"/>
                <w:color w:val="auto"/>
                <w:sz w:val="28"/>
                <w:szCs w:val="28"/>
              </w:rPr>
              <w:t>依托机械工业第六设计研究院有限公司、郑州大学等单位，开展基于大数据的工业协同制造云服务和工业大数据服务等技术研究及应用。依托信大捷安、信息工程大学、郑州大学等单位，重点突破大数据平台高弹性安全体系架构、基于新形态密码的大数据平台信任管理与服务、大数据内容安全保护、大数据平台安全监管与风险评估、大数据安全态势综合分析等核心关键技术。依托河南拓普计算机网络工程有限公司，围绕企业信用信息政务服务领域重大需求，针对企业信用信息数据量大，来源政府部门多、数据格式杂、计算处理量忙、数据展示乱等问题研究。</w:t>
            </w:r>
          </w:p>
          <w:p>
            <w:pPr>
              <w:pStyle w:val="22"/>
              <w:adjustRightInd w:val="0"/>
              <w:snapToGrid w:val="0"/>
              <w:spacing w:beforeAutospacing="0" w:afterAutospacing="0" w:line="500" w:lineRule="exact"/>
              <w:ind w:firstLine="0" w:firstLineChars="0"/>
              <w:rPr>
                <w:rFonts w:ascii="仿宋_GB2312" w:hAnsi="仿宋_GB2312" w:cs="仿宋_GB2312"/>
                <w:color w:val="auto"/>
                <w:sz w:val="28"/>
                <w:szCs w:val="28"/>
              </w:rPr>
            </w:pPr>
            <w:r>
              <w:rPr>
                <w:rFonts w:hint="eastAsia" w:ascii="仿宋_GB2312" w:hAnsi="仿宋_GB2312" w:cs="仿宋_GB2312"/>
                <w:b/>
                <w:bCs/>
                <w:color w:val="auto"/>
                <w:sz w:val="28"/>
                <w:szCs w:val="28"/>
              </w:rPr>
              <w:t>3.北斗创新示范应用。</w:t>
            </w:r>
            <w:r>
              <w:rPr>
                <w:rFonts w:hint="eastAsia" w:ascii="仿宋_GB2312" w:hAnsi="仿宋_GB2312" w:cs="仿宋_GB2312"/>
                <w:color w:val="auto"/>
                <w:sz w:val="28"/>
                <w:szCs w:val="28"/>
              </w:rPr>
              <w:t>推进北斗卫星导航高精度增强系统与国家高分辨率对地观测系统遥感信息的叠加应用，提升北斗时空数据应用价值；加快智能网联汽车操作系统及软件研发，促进“5G+北斗”技术在新型车载计算平台上的应用，满足远程操作、无人驾驶等联接要求。建设北斗创新示范基地，培育具有核心技术支撑、高端人才引领、主导产品突出、龙头企业带动、产业链条完整的在国内具有重要影响力的北斗创新型产业集群。</w:t>
            </w:r>
          </w:p>
          <w:p>
            <w:pPr>
              <w:pStyle w:val="22"/>
              <w:adjustRightInd w:val="0"/>
              <w:snapToGrid w:val="0"/>
              <w:spacing w:beforeAutospacing="0" w:afterAutospacing="0" w:line="500" w:lineRule="exact"/>
              <w:ind w:firstLine="0" w:firstLineChars="0"/>
              <w:rPr>
                <w:color w:val="auto"/>
                <w:sz w:val="21"/>
                <w:szCs w:val="21"/>
              </w:rPr>
            </w:pPr>
            <w:r>
              <w:rPr>
                <w:rFonts w:hint="eastAsia" w:ascii="仿宋_GB2312" w:hAnsi="仿宋_GB2312" w:cs="仿宋_GB2312"/>
                <w:b/>
                <w:bCs/>
                <w:color w:val="auto"/>
                <w:sz w:val="28"/>
                <w:szCs w:val="28"/>
              </w:rPr>
              <w:t>4.公共服务平台建设。</w:t>
            </w:r>
            <w:r>
              <w:rPr>
                <w:rFonts w:hint="eastAsia" w:ascii="仿宋_GB2312" w:hAnsi="仿宋_GB2312" w:cs="仿宋_GB2312"/>
                <w:color w:val="auto"/>
                <w:sz w:val="28"/>
                <w:szCs w:val="28"/>
              </w:rPr>
              <w:t>通过多种方式，促进多元化主体参与公共服务平台建设，重点支持研发中心、检测中心、信息中心、管理咨询、技术专利服务、人才教育培训、市场营销、中小企业融资担保等机构建设，为产业集群提供生产、技术、管理、品牌、人才、信息等方面的支持和服务。</w:t>
            </w:r>
          </w:p>
        </w:tc>
      </w:tr>
    </w:tbl>
    <w:p>
      <w:pPr>
        <w:pStyle w:val="5"/>
        <w:rPr>
          <w:color w:val="auto"/>
        </w:rPr>
      </w:pPr>
      <w:bookmarkStart w:id="28" w:name="_Toc5288"/>
      <w:r>
        <w:rPr>
          <w:rFonts w:hint="eastAsia"/>
          <w:color w:val="auto"/>
        </w:rPr>
        <w:t>（五）构筑产业创新发展环境</w:t>
      </w:r>
      <w:bookmarkEnd w:id="28"/>
    </w:p>
    <w:p>
      <w:pPr>
        <w:ind w:firstLine="640"/>
        <w:rPr>
          <w:rFonts w:ascii="仿宋" w:hAnsi="仿宋" w:cs="仿宋"/>
          <w:color w:val="auto"/>
        </w:rPr>
      </w:pPr>
      <w:r>
        <w:rPr>
          <w:rFonts w:hint="eastAsia" w:ascii="仿宋_GB2312" w:hAnsi="仿宋_GB2312" w:cs="仿宋_GB2312"/>
          <w:color w:val="auto"/>
        </w:rPr>
        <w:t>积极打造创新孵化平台。鼓励科技园区、企业、社会组织等各类主体以新一代信息技术为手段，在新一代信息技术及相关融合领域按照专业化、市场化、网络化等多种方式，建设科技企业孵化器、众创空间等孵化平台。积极</w:t>
      </w:r>
      <w:r>
        <w:rPr>
          <w:rFonts w:hint="eastAsia" w:ascii="仿宋_GB2312" w:hAnsi="仿宋_GB2312" w:cs="仿宋_GB2312"/>
          <w:color w:val="auto"/>
          <w:lang w:val="en-US" w:eastAsia="zh-CN"/>
        </w:rPr>
        <w:t>培育</w:t>
      </w:r>
      <w:r>
        <w:rPr>
          <w:rFonts w:hint="eastAsia" w:ascii="仿宋_GB2312" w:hAnsi="仿宋_GB2312" w:cs="仿宋_GB2312"/>
          <w:color w:val="auto"/>
        </w:rPr>
        <w:t>科技创新企业。加大对企业科技创新投入力度，大力实施重大项目牵引战略，鼓励企业承接市级、省级、国家级重大科技创新项目，对获得重大项目的企业进行配套扶持。加强创新人才引进和培养。加大培养和引进新一代信息技术和产业融合所需的复合型高端人才和高水平创新团队力度，继续强化“黄河人才计划”人才工程实施战略，通过“3.0版”郑州人才新政，加强对新一代信息技术领域高端人才的支持。</w:t>
      </w:r>
    </w:p>
    <w:tbl>
      <w:tblPr>
        <w:tblStyle w:val="23"/>
        <w:tblW w:w="8488"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488"/>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trHeight w:val="567" w:hRule="atLeast"/>
          <w:jc w:val="center"/>
        </w:trPr>
        <w:tc>
          <w:tcPr>
            <w:tcW w:w="8488" w:type="dxa"/>
            <w:vAlign w:val="center"/>
          </w:tcPr>
          <w:p>
            <w:pPr>
              <w:adjustRightInd w:val="0"/>
              <w:snapToGrid w:val="0"/>
              <w:spacing w:line="500" w:lineRule="exact"/>
              <w:ind w:firstLine="560"/>
              <w:jc w:val="center"/>
              <w:rPr>
                <w:rFonts w:ascii="黑体" w:hAnsi="黑体" w:eastAsia="黑体" w:cs="宋体"/>
                <w:color w:val="auto"/>
                <w:sz w:val="28"/>
                <w:szCs w:val="28"/>
              </w:rPr>
            </w:pPr>
            <w:r>
              <w:rPr>
                <w:rFonts w:hint="eastAsia" w:ascii="黑体" w:hAnsi="黑体" w:eastAsia="黑体" w:cs="宋体"/>
                <w:color w:val="auto"/>
                <w:sz w:val="28"/>
                <w:szCs w:val="28"/>
              </w:rPr>
              <w:t>专栏5-5</w:t>
            </w:r>
            <w:r>
              <w:rPr>
                <w:rFonts w:hint="eastAsia" w:ascii="黑体" w:hAnsi="黑体" w:eastAsia="黑体" w:cs="宋体"/>
                <w:color w:val="auto"/>
                <w:sz w:val="28"/>
                <w:szCs w:val="28"/>
                <w:lang w:val="en-US" w:eastAsia="zh-CN"/>
              </w:rPr>
              <w:t xml:space="preserve">  </w:t>
            </w:r>
            <w:r>
              <w:rPr>
                <w:rFonts w:hint="eastAsia" w:ascii="黑体" w:hAnsi="黑体" w:eastAsia="黑体" w:cs="宋体"/>
                <w:color w:val="auto"/>
                <w:sz w:val="28"/>
                <w:szCs w:val="28"/>
              </w:rPr>
              <w:t>优化产业</w:t>
            </w:r>
            <w:r>
              <w:rPr>
                <w:rFonts w:hint="eastAsia" w:ascii="黑体" w:hAnsi="黑体" w:eastAsia="黑体" w:cs="宋体"/>
                <w:color w:val="auto"/>
                <w:sz w:val="28"/>
                <w:szCs w:val="28"/>
                <w:lang w:val="en-US" w:eastAsia="zh-CN"/>
              </w:rPr>
              <w:t>创新发展</w:t>
            </w:r>
            <w:r>
              <w:rPr>
                <w:rFonts w:hint="eastAsia" w:ascii="黑体" w:hAnsi="黑体" w:eastAsia="黑体" w:cs="宋体"/>
                <w:color w:val="auto"/>
                <w:sz w:val="28"/>
                <w:szCs w:val="28"/>
              </w:rPr>
              <w:t>生态</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trHeight w:val="567" w:hRule="atLeast"/>
          <w:jc w:val="center"/>
        </w:trPr>
        <w:tc>
          <w:tcPr>
            <w:tcW w:w="8488" w:type="dxa"/>
          </w:tcPr>
          <w:p>
            <w:pPr>
              <w:pStyle w:val="22"/>
              <w:spacing w:beforeAutospacing="0" w:afterAutospacing="0" w:line="500" w:lineRule="exact"/>
              <w:ind w:firstLine="0" w:firstLineChars="0"/>
              <w:rPr>
                <w:rFonts w:ascii="仿宋_GB2312" w:hAnsi="仿宋_GB2312" w:cs="仿宋_GB2312"/>
                <w:color w:val="auto"/>
                <w:sz w:val="28"/>
                <w:szCs w:val="28"/>
                <w:lang w:val="en"/>
              </w:rPr>
            </w:pPr>
            <w:r>
              <w:rPr>
                <w:rFonts w:hint="eastAsia" w:ascii="仿宋_GB2312" w:hAnsi="仿宋_GB2312" w:cs="仿宋_GB2312"/>
                <w:b/>
                <w:bCs/>
                <w:color w:val="auto"/>
                <w:sz w:val="28"/>
                <w:szCs w:val="28"/>
              </w:rPr>
              <w:t>1.</w:t>
            </w:r>
            <w:r>
              <w:rPr>
                <w:rFonts w:hint="eastAsia" w:ascii="仿宋_GB2312" w:hAnsi="仿宋_GB2312" w:cs="仿宋_GB2312"/>
                <w:b/>
                <w:bCs/>
                <w:color w:val="auto"/>
                <w:sz w:val="28"/>
                <w:szCs w:val="28"/>
                <w:lang w:val="en"/>
              </w:rPr>
              <w:t>双创载体提升。</w:t>
            </w:r>
            <w:r>
              <w:rPr>
                <w:rFonts w:hint="eastAsia" w:ascii="仿宋_GB2312" w:hAnsi="仿宋_GB2312" w:cs="仿宋_GB2312"/>
                <w:color w:val="auto"/>
                <w:sz w:val="28"/>
                <w:szCs w:val="28"/>
                <w:lang w:val="en"/>
              </w:rPr>
              <w:t>重点实施高校利用自身科研优势及场地资源建立创业园、科技研发平台；行业领军企业利用自身技术及营销资源建立细分行业创业孵化中心；互联网优势企业建立线上线下相结合的创业基地、众创咖啡等创客平台。</w:t>
            </w:r>
          </w:p>
          <w:p>
            <w:pPr>
              <w:pStyle w:val="22"/>
              <w:spacing w:beforeAutospacing="0" w:afterAutospacing="0" w:line="500" w:lineRule="exact"/>
              <w:ind w:firstLine="0" w:firstLineChars="0"/>
              <w:rPr>
                <w:rFonts w:ascii="仿宋_GB2312" w:hAnsi="仿宋_GB2312" w:cs="仿宋_GB2312"/>
                <w:color w:val="auto"/>
                <w:sz w:val="28"/>
                <w:szCs w:val="28"/>
                <w:lang w:val="en"/>
              </w:rPr>
            </w:pPr>
            <w:r>
              <w:rPr>
                <w:rFonts w:hint="eastAsia" w:ascii="仿宋_GB2312" w:hAnsi="仿宋_GB2312" w:cs="仿宋_GB2312"/>
                <w:b/>
                <w:bCs/>
                <w:color w:val="auto"/>
                <w:sz w:val="28"/>
                <w:szCs w:val="28"/>
              </w:rPr>
              <w:t>2.</w:t>
            </w:r>
            <w:r>
              <w:rPr>
                <w:rFonts w:hint="eastAsia" w:ascii="仿宋_GB2312" w:hAnsi="仿宋_GB2312" w:cs="仿宋_GB2312"/>
                <w:b/>
                <w:bCs/>
                <w:color w:val="auto"/>
                <w:sz w:val="28"/>
                <w:szCs w:val="28"/>
                <w:lang w:val="en"/>
              </w:rPr>
              <w:t>领军人才培育。</w:t>
            </w:r>
            <w:r>
              <w:rPr>
                <w:rFonts w:hint="eastAsia" w:ascii="仿宋_GB2312" w:hAnsi="仿宋_GB2312" w:cs="仿宋_GB2312"/>
                <w:color w:val="auto"/>
                <w:sz w:val="28"/>
                <w:szCs w:val="28"/>
                <w:lang w:val="en"/>
              </w:rPr>
              <w:t>实施创新创业领军人才培育专项，</w:t>
            </w:r>
            <w:r>
              <w:rPr>
                <w:rFonts w:hint="eastAsia" w:ascii="仿宋_GB2312" w:hAnsi="仿宋_GB2312" w:cs="仿宋_GB2312"/>
                <w:color w:val="auto"/>
                <w:sz w:val="28"/>
                <w:szCs w:val="28"/>
              </w:rPr>
              <w:t>继续</w:t>
            </w:r>
            <w:r>
              <w:rPr>
                <w:rFonts w:hint="eastAsia" w:ascii="仿宋_GB2312" w:hAnsi="仿宋_GB2312" w:cs="仿宋_GB2312"/>
                <w:color w:val="auto"/>
                <w:sz w:val="28"/>
                <w:szCs w:val="28"/>
                <w:lang w:val="en"/>
              </w:rPr>
              <w:t>重点推动“</w:t>
            </w:r>
            <w:r>
              <w:rPr>
                <w:rFonts w:hint="eastAsia" w:ascii="仿宋_GB2312" w:hAnsi="仿宋_GB2312" w:cs="仿宋_GB2312"/>
                <w:color w:val="auto"/>
                <w:sz w:val="28"/>
                <w:szCs w:val="28"/>
              </w:rPr>
              <w:t>黄河人才计划</w:t>
            </w:r>
            <w:r>
              <w:rPr>
                <w:rFonts w:hint="eastAsia" w:ascii="仿宋_GB2312" w:hAnsi="仿宋_GB2312" w:cs="仿宋_GB2312"/>
                <w:color w:val="auto"/>
                <w:sz w:val="28"/>
                <w:szCs w:val="28"/>
                <w:lang w:val="en"/>
              </w:rPr>
              <w:t>”。</w:t>
            </w:r>
            <w:r>
              <w:rPr>
                <w:rFonts w:hint="eastAsia" w:ascii="仿宋_GB2312" w:hAnsi="仿宋_GB2312" w:cs="仿宋_GB2312"/>
                <w:color w:val="auto"/>
                <w:sz w:val="28"/>
                <w:szCs w:val="28"/>
              </w:rPr>
              <w:t>加大力度落实</w:t>
            </w:r>
            <w:r>
              <w:rPr>
                <w:rFonts w:hint="eastAsia" w:ascii="仿宋_GB2312" w:hAnsi="仿宋_GB2312" w:cs="仿宋_GB2312"/>
                <w:color w:val="auto"/>
                <w:sz w:val="28"/>
                <w:szCs w:val="28"/>
                <w:lang w:val="en"/>
              </w:rPr>
              <w:t>“3.0版”郑州人才新政</w:t>
            </w:r>
            <w:r>
              <w:rPr>
                <w:rFonts w:hint="eastAsia" w:ascii="仿宋_GB2312" w:hAnsi="仿宋_GB2312" w:cs="仿宋_GB2312"/>
                <w:color w:val="auto"/>
                <w:sz w:val="28"/>
                <w:szCs w:val="28"/>
              </w:rPr>
              <w:t>“</w:t>
            </w:r>
            <w:r>
              <w:rPr>
                <w:rFonts w:hint="eastAsia" w:ascii="仿宋_GB2312" w:hAnsi="仿宋_GB2312" w:cs="仿宋_GB2312"/>
                <w:color w:val="auto"/>
                <w:sz w:val="28"/>
                <w:szCs w:val="28"/>
                <w:lang w:val="en"/>
              </w:rPr>
              <w:t>海内外高端人才支持专项</w:t>
            </w:r>
            <w:r>
              <w:rPr>
                <w:rFonts w:hint="eastAsia" w:ascii="仿宋_GB2312" w:hAnsi="仿宋_GB2312" w:cs="仿宋_GB2312"/>
                <w:color w:val="auto"/>
                <w:sz w:val="28"/>
                <w:szCs w:val="28"/>
              </w:rPr>
              <w:t>”、“</w:t>
            </w:r>
            <w:r>
              <w:rPr>
                <w:rFonts w:hint="eastAsia" w:ascii="仿宋_GB2312" w:hAnsi="仿宋_GB2312" w:cs="仿宋_GB2312"/>
                <w:color w:val="auto"/>
                <w:sz w:val="28"/>
                <w:szCs w:val="28"/>
                <w:lang w:val="en"/>
              </w:rPr>
              <w:t>科技领军人才支持专项</w:t>
            </w:r>
            <w:r>
              <w:rPr>
                <w:rFonts w:hint="eastAsia" w:ascii="仿宋_GB2312" w:hAnsi="仿宋_GB2312" w:cs="仿宋_GB2312"/>
                <w:color w:val="auto"/>
                <w:sz w:val="28"/>
                <w:szCs w:val="28"/>
              </w:rPr>
              <w:t>”、“</w:t>
            </w:r>
            <w:r>
              <w:rPr>
                <w:rFonts w:hint="eastAsia" w:ascii="仿宋_GB2312" w:hAnsi="仿宋_GB2312" w:cs="仿宋_GB2312"/>
                <w:color w:val="auto"/>
                <w:sz w:val="28"/>
                <w:szCs w:val="28"/>
                <w:lang w:val="en"/>
              </w:rPr>
              <w:t>产业骨干人才支持专项</w:t>
            </w:r>
            <w:r>
              <w:rPr>
                <w:rFonts w:hint="eastAsia" w:ascii="仿宋_GB2312" w:hAnsi="仿宋_GB2312" w:cs="仿宋_GB2312"/>
                <w:color w:val="auto"/>
                <w:sz w:val="28"/>
                <w:szCs w:val="28"/>
              </w:rPr>
              <w:t>”等</w:t>
            </w:r>
            <w:r>
              <w:rPr>
                <w:rFonts w:hint="eastAsia" w:ascii="仿宋_GB2312" w:hAnsi="仿宋_GB2312" w:cs="仿宋_GB2312"/>
                <w:color w:val="auto"/>
                <w:sz w:val="28"/>
                <w:szCs w:val="28"/>
                <w:lang w:val="en"/>
              </w:rPr>
              <w:t>高层次人才计划。</w:t>
            </w:r>
          </w:p>
          <w:p>
            <w:pPr>
              <w:pStyle w:val="22"/>
              <w:spacing w:beforeAutospacing="0" w:afterAutospacing="0" w:line="500" w:lineRule="exact"/>
              <w:ind w:firstLine="0" w:firstLineChars="0"/>
              <w:rPr>
                <w:rFonts w:ascii="仿宋_GB2312" w:hAnsi="仿宋_GB2312" w:cs="仿宋_GB2312"/>
                <w:color w:val="auto"/>
                <w:sz w:val="28"/>
                <w:szCs w:val="28"/>
                <w:lang w:val="en"/>
              </w:rPr>
            </w:pPr>
            <w:r>
              <w:rPr>
                <w:rFonts w:hint="eastAsia" w:ascii="仿宋_GB2312" w:hAnsi="仿宋_GB2312" w:cs="仿宋_GB2312"/>
                <w:b/>
                <w:bCs/>
                <w:color w:val="auto"/>
                <w:sz w:val="28"/>
                <w:szCs w:val="28"/>
              </w:rPr>
              <w:t>3.</w:t>
            </w:r>
            <w:r>
              <w:rPr>
                <w:rFonts w:hint="eastAsia" w:ascii="仿宋_GB2312" w:hAnsi="仿宋_GB2312" w:cs="仿宋_GB2312"/>
                <w:b/>
                <w:bCs/>
                <w:color w:val="auto"/>
                <w:sz w:val="28"/>
                <w:szCs w:val="28"/>
                <w:lang w:val="en"/>
              </w:rPr>
              <w:t>服务体系建设。</w:t>
            </w:r>
            <w:r>
              <w:rPr>
                <w:rFonts w:hint="eastAsia" w:ascii="仿宋_GB2312" w:hAnsi="仿宋_GB2312" w:cs="仿宋_GB2312"/>
                <w:color w:val="auto"/>
                <w:sz w:val="28"/>
                <w:szCs w:val="28"/>
                <w:lang w:val="en"/>
              </w:rPr>
              <w:t>设立“双创”服务体系建设专项，重点实施互联网创业服务平台、大型科学仪器资源共享网络平台等重大项目。基本建成架构合理、功能完备的“双创”服务体系。</w:t>
            </w:r>
          </w:p>
          <w:p>
            <w:pPr>
              <w:pStyle w:val="22"/>
              <w:widowControl/>
              <w:spacing w:beforeAutospacing="0" w:afterAutospacing="0" w:line="500" w:lineRule="exact"/>
              <w:ind w:firstLine="0" w:firstLineChars="0"/>
              <w:rPr>
                <w:rFonts w:ascii="宋体" w:hAnsi="宋体" w:eastAsia="宋体" w:cs="宋体"/>
                <w:color w:val="auto"/>
                <w:sz w:val="28"/>
                <w:szCs w:val="28"/>
              </w:rPr>
            </w:pPr>
            <w:r>
              <w:rPr>
                <w:rFonts w:hint="eastAsia" w:ascii="仿宋_GB2312" w:hAnsi="仿宋_GB2312" w:cs="仿宋_GB2312"/>
                <w:b/>
                <w:bCs/>
                <w:color w:val="auto"/>
                <w:sz w:val="28"/>
                <w:szCs w:val="28"/>
              </w:rPr>
              <w:t>4.科技金融体系。</w:t>
            </w:r>
            <w:r>
              <w:rPr>
                <w:rFonts w:hint="eastAsia" w:ascii="仿宋_GB2312" w:hAnsi="仿宋_GB2312" w:cs="仿宋_GB2312"/>
                <w:color w:val="auto"/>
                <w:sz w:val="28"/>
                <w:szCs w:val="28"/>
                <w:lang w:val="en"/>
              </w:rPr>
              <w:t>鼓励社会资本加大对</w:t>
            </w:r>
            <w:r>
              <w:rPr>
                <w:rFonts w:hint="eastAsia" w:ascii="仿宋_GB2312" w:hAnsi="仿宋_GB2312" w:cs="仿宋_GB2312"/>
                <w:color w:val="auto"/>
                <w:sz w:val="28"/>
                <w:szCs w:val="28"/>
              </w:rPr>
              <w:t>新一代信息技术</w:t>
            </w:r>
            <w:r>
              <w:rPr>
                <w:rFonts w:hint="eastAsia" w:ascii="仿宋_GB2312" w:hAnsi="仿宋_GB2312" w:cs="仿宋_GB2312"/>
                <w:color w:val="auto"/>
                <w:sz w:val="28"/>
                <w:szCs w:val="28"/>
                <w:lang w:val="en"/>
              </w:rPr>
              <w:t>相关产业创新支持力度，健全科技成果转化贷款风险补偿机制，支持商业银行为</w:t>
            </w:r>
            <w:r>
              <w:rPr>
                <w:rFonts w:hint="eastAsia" w:ascii="仿宋_GB2312" w:hAnsi="仿宋_GB2312" w:cs="仿宋_GB2312"/>
                <w:color w:val="auto"/>
                <w:sz w:val="28"/>
                <w:szCs w:val="28"/>
                <w:lang w:val="en-US" w:eastAsia="zh-CN"/>
              </w:rPr>
              <w:t>新一代信息技术领域</w:t>
            </w:r>
            <w:r>
              <w:rPr>
                <w:rFonts w:hint="eastAsia" w:ascii="仿宋_GB2312" w:hAnsi="仿宋_GB2312" w:cs="仿宋_GB2312"/>
                <w:color w:val="auto"/>
                <w:sz w:val="28"/>
                <w:szCs w:val="28"/>
                <w:lang w:val="en"/>
              </w:rPr>
              <w:t>中小企业提供低抵押、低息贷款。加大对中小微企业科技计划项目经费支持，引导社会力量增强投资跟进、贷款贴息等支持力度，拓宽企业融资渠道。</w:t>
            </w:r>
          </w:p>
        </w:tc>
      </w:tr>
    </w:tbl>
    <w:p>
      <w:pPr>
        <w:pStyle w:val="4"/>
        <w:ind w:firstLine="640"/>
        <w:rPr>
          <w:color w:val="auto"/>
        </w:rPr>
      </w:pPr>
      <w:bookmarkStart w:id="29" w:name="_Toc11924"/>
      <w:r>
        <w:rPr>
          <w:rFonts w:hint="eastAsia"/>
          <w:color w:val="auto"/>
        </w:rPr>
        <w:t>六、重点工程</w:t>
      </w:r>
      <w:bookmarkEnd w:id="29"/>
    </w:p>
    <w:p>
      <w:pPr>
        <w:pStyle w:val="5"/>
        <w:rPr>
          <w:rFonts w:ascii="仿宋_GB2312" w:hAnsi="仿宋_GB2312" w:cs="仿宋_GB2312"/>
          <w:color w:val="auto"/>
        </w:rPr>
      </w:pPr>
      <w:bookmarkStart w:id="30" w:name="_Toc28082"/>
      <w:r>
        <w:rPr>
          <w:rFonts w:hint="eastAsia" w:ascii="仿宋_GB2312" w:hAnsi="仿宋_GB2312" w:cs="仿宋_GB2312"/>
          <w:color w:val="auto"/>
        </w:rPr>
        <w:t>（一）重大创新平台建设工程</w:t>
      </w:r>
      <w:bookmarkEnd w:id="30"/>
    </w:p>
    <w:p>
      <w:pPr>
        <w:ind w:firstLine="640"/>
        <w:rPr>
          <w:rFonts w:ascii="仿宋_GB2312" w:hAnsi="仿宋_GB2312" w:cs="仿宋_GB2312"/>
          <w:color w:val="auto"/>
        </w:rPr>
      </w:pPr>
      <w:r>
        <w:rPr>
          <w:rFonts w:hint="eastAsia" w:ascii="仿宋_GB2312" w:hAnsi="仿宋_GB2312" w:cs="仿宋_GB2312"/>
          <w:color w:val="auto"/>
          <w:lang w:val="en-US" w:eastAsia="zh-CN"/>
        </w:rPr>
        <w:t>大力开展</w:t>
      </w:r>
      <w:r>
        <w:rPr>
          <w:rFonts w:hint="eastAsia" w:ascii="仿宋_GB2312" w:hAnsi="仿宋_GB2312" w:cs="仿宋_GB2312"/>
          <w:color w:val="auto"/>
        </w:rPr>
        <w:t>重大科技创新平台</w:t>
      </w:r>
      <w:r>
        <w:rPr>
          <w:rFonts w:hint="eastAsia" w:ascii="仿宋_GB2312" w:hAnsi="仿宋_GB2312" w:cs="仿宋_GB2312"/>
          <w:color w:val="auto"/>
          <w:lang w:val="en-US" w:eastAsia="zh-CN"/>
        </w:rPr>
        <w:t>建设，</w:t>
      </w:r>
      <w:r>
        <w:rPr>
          <w:rFonts w:hint="eastAsia" w:ascii="仿宋_GB2312" w:hAnsi="仿宋_GB2312" w:cs="仿宋_GB2312"/>
          <w:color w:val="auto"/>
        </w:rPr>
        <w:t>激活创新资源，促进科技成果转化，</w:t>
      </w:r>
      <w:r>
        <w:rPr>
          <w:rFonts w:hint="eastAsia" w:ascii="仿宋_GB2312" w:hAnsi="仿宋_GB2312" w:cs="仿宋_GB2312"/>
          <w:color w:val="auto"/>
          <w:lang w:val="en-US" w:eastAsia="zh-CN"/>
        </w:rPr>
        <w:t>全面提升</w:t>
      </w:r>
      <w:r>
        <w:rPr>
          <w:rFonts w:hint="eastAsia" w:ascii="仿宋_GB2312" w:hAnsi="仿宋_GB2312" w:cs="仿宋_GB2312"/>
          <w:color w:val="auto"/>
        </w:rPr>
        <w:t>算力、网络布局和网速等新一代信息技术基础支撑能力。</w:t>
      </w:r>
    </w:p>
    <w:p>
      <w:pPr>
        <w:rPr>
          <w:rFonts w:ascii="仿宋_GB2312" w:hAnsi="仿宋_GB2312" w:cs="仿宋_GB2312"/>
          <w:b/>
          <w:bCs/>
          <w:color w:val="auto"/>
        </w:rPr>
      </w:pPr>
      <w:r>
        <w:rPr>
          <w:rFonts w:hint="eastAsia" w:ascii="楷体_GB2312" w:hAnsi="楷体_GB2312" w:eastAsia="楷体_GB2312" w:cs="楷体_GB2312"/>
          <w:b/>
          <w:bCs/>
          <w:color w:val="auto"/>
        </w:rPr>
        <w:t>1.高能量发挥国家超算郑州中心算力支撑</w:t>
      </w:r>
    </w:p>
    <w:p>
      <w:pPr>
        <w:ind w:firstLine="640"/>
        <w:rPr>
          <w:rFonts w:ascii="仿宋_GB2312" w:hAnsi="仿宋_GB2312" w:cs="仿宋_GB2312"/>
          <w:color w:val="auto"/>
        </w:rPr>
      </w:pPr>
      <w:r>
        <w:rPr>
          <w:rFonts w:hint="eastAsia" w:ascii="仿宋_GB2312" w:hAnsi="仿宋_GB2312" w:cs="仿宋_GB2312"/>
          <w:color w:val="auto"/>
        </w:rPr>
        <w:t>国家超算郑州中心已投入运营，在推动新一代信息技术关键应用领域中将发挥大平台创新动能，推进国家超算郑州中心围绕人工智能、装备制造、精准医学、生物育种等方面开展一批重点特色应用工程，着力建设为全国具有重要影响力的战略基础设施和重大科研装置，打造高端新一代信息人才培养和溢出策源地，打造中西部地区科技创新高地为我市产业转型换动力提供强有力的算力支撑。以应用需求为导向，立足河南、服务全国，为全省企业、高等院校、科研机构等各类企事业单位提供强大计算服务和数据处理服务，重点围绕数字经济、社会管理、精准医学、生物育种、环境治理、高端装备、人工智能、国土资源管理等方面开展重点特色应用，为郑州市、河南省乃至中西部地区经济社会发展提供强大的科技支撑。</w:t>
      </w:r>
    </w:p>
    <w:p>
      <w:pPr>
        <w:rPr>
          <w:rFonts w:ascii="楷体_GB2312" w:hAnsi="楷体_GB2312" w:eastAsia="楷体_GB2312" w:cs="楷体_GB2312"/>
          <w:b/>
          <w:bCs/>
          <w:color w:val="auto"/>
        </w:rPr>
      </w:pPr>
      <w:r>
        <w:rPr>
          <w:rFonts w:hint="eastAsia" w:ascii="楷体_GB2312" w:hAnsi="楷体_GB2312" w:eastAsia="楷体_GB2312" w:cs="楷体_GB2312"/>
          <w:b/>
          <w:bCs/>
          <w:color w:val="auto"/>
        </w:rPr>
        <w:t>2.5G融合创新应用工程</w:t>
      </w:r>
    </w:p>
    <w:p>
      <w:pPr>
        <w:ind w:firstLine="640"/>
        <w:rPr>
          <w:rFonts w:ascii="仿宋_GB2312" w:hAnsi="仿宋_GB2312" w:cs="仿宋_GB2312"/>
          <w:color w:val="auto"/>
        </w:rPr>
      </w:pPr>
      <w:r>
        <w:rPr>
          <w:rFonts w:hint="eastAsia" w:ascii="仿宋_GB2312" w:hAnsi="仿宋_GB2312" w:cs="仿宋_GB2312"/>
          <w:color w:val="auto"/>
        </w:rPr>
        <w:t>统筹5G应用场景，深度融合创新应用，挖掘各垂直领域对5G应用的需求，立足基础、发挥优势、突出特色。以宇通客车、格力电器、富士康等重点企业为龙头，打造“5G+工业互联网”平台，建立人、机、物全面互联的工业互联网网络体系。加快5G技术与工业制造深度融合，支撑制造企业向数字化、网络化、智能化转型，支持传统产业优化升级，形成先进制造业智能化发展的新兴业态和创新模式。发挥宇通客车在自动驾驶领域的优势，推动车车通信（V2V）、车路协同（V2I）、车云通信（V2N）、远程驾驶等技术快速落地，助推自动驾驶汽车广泛应用。通过5G在各垂直领域的应用不断做“新”、做“特”、做“实”，探索形成可复制推广的模式，并发挥辐射带动效应，打造“5G+”生态系统，培育新的经济增长点。</w:t>
      </w:r>
    </w:p>
    <w:p>
      <w:pPr>
        <w:rPr>
          <w:rFonts w:ascii="楷体_GB2312" w:hAnsi="楷体_GB2312" w:eastAsia="楷体_GB2312" w:cs="楷体_GB2312"/>
          <w:b/>
          <w:bCs/>
          <w:color w:val="auto"/>
        </w:rPr>
      </w:pPr>
      <w:r>
        <w:rPr>
          <w:rFonts w:hint="eastAsia" w:ascii="楷体_GB2312" w:hAnsi="楷体_GB2312" w:eastAsia="楷体_GB2312" w:cs="楷体_GB2312"/>
          <w:b/>
          <w:bCs/>
          <w:color w:val="auto"/>
        </w:rPr>
        <w:t>3.北斗导航创新融合工程</w:t>
      </w:r>
    </w:p>
    <w:p>
      <w:pPr>
        <w:ind w:firstLine="640"/>
        <w:rPr>
          <w:rFonts w:ascii="仿宋_GB2312" w:hAnsi="仿宋_GB2312" w:cs="仿宋_GB2312"/>
          <w:color w:val="auto"/>
          <w:szCs w:val="32"/>
        </w:rPr>
      </w:pPr>
      <w:r>
        <w:rPr>
          <w:rFonts w:hint="eastAsia" w:ascii="仿宋_GB2312" w:hAnsi="仿宋_GB2312" w:cs="仿宋_GB2312"/>
          <w:color w:val="auto"/>
        </w:rPr>
        <w:t>依托高新区北斗产业园、航空港区北斗产业园、金水区地理信息与导航产业园，加快北斗导航与新技术融合创新发展，支持北斗与5G通信、卫星移动通信、人工智能等领域及终端的融合应用技术创新。以物联网、5G、工业互联网、大数据、遥感等产业共性技术研发与产业化应用为重点，发展融合大数据、云计算、互联网、物联网等技术的导航位置服务，加强集成创新与应用模式创新。不断开拓北斗导航应用场景，推进北斗卫星导航高精度增强系统与国家高分辨率对地观测系统遥感信息的叠加应用，鼓励企业采用基于北斗系统的产品和服务，扩大北斗技术的应用领域，提升北斗时空数据应用价值；积极推动北斗在现代物流、现代农业、观光旅游、会展活动等领域应用。探索北斗在重大活动、国际赛事和大型会展中的应用示范，打造具有国际显示度和影响力的北斗应用服务样板工程。</w:t>
      </w:r>
    </w:p>
    <w:p>
      <w:pPr>
        <w:pStyle w:val="5"/>
        <w:rPr>
          <w:rFonts w:ascii="仿宋_GB2312" w:hAnsi="仿宋_GB2312" w:cs="仿宋_GB2312"/>
          <w:color w:val="auto"/>
        </w:rPr>
      </w:pPr>
      <w:bookmarkStart w:id="31" w:name="_Toc13219"/>
      <w:r>
        <w:rPr>
          <w:rFonts w:hint="eastAsia" w:ascii="仿宋_GB2312" w:hAnsi="仿宋_GB2312" w:cs="仿宋_GB2312"/>
          <w:color w:val="auto"/>
        </w:rPr>
        <w:t>（二）产业支撑平台建设工程</w:t>
      </w:r>
      <w:bookmarkEnd w:id="31"/>
    </w:p>
    <w:p>
      <w:pPr>
        <w:ind w:firstLine="640"/>
        <w:rPr>
          <w:rFonts w:hint="eastAsia" w:ascii="仿宋_GB2312" w:hAnsi="仿宋_GB2312" w:cs="仿宋_GB2312"/>
          <w:color w:val="auto"/>
          <w:lang w:val="en-US" w:eastAsia="zh-CN"/>
        </w:rPr>
      </w:pPr>
      <w:r>
        <w:rPr>
          <w:rFonts w:hint="eastAsia" w:ascii="仿宋_GB2312" w:hAnsi="仿宋_GB2312" w:cs="仿宋_GB2312"/>
          <w:color w:val="auto"/>
          <w:lang w:val="en-US" w:eastAsia="zh-CN"/>
        </w:rPr>
        <w:t>不断丰富人才引育、科技成果转化、应用体验中心等新一代信息技术产业的发展支撑要素，着力打造新一代信息技术发展多元开放平台,支撑产业创新模式,提升产业创新速度,实现产业可持续发展。</w:t>
      </w:r>
    </w:p>
    <w:p>
      <w:pPr>
        <w:rPr>
          <w:rFonts w:ascii="楷体_GB2312" w:hAnsi="楷体_GB2312" w:eastAsia="楷体_GB2312" w:cs="楷体_GB2312"/>
          <w:b/>
          <w:bCs/>
          <w:color w:val="auto"/>
        </w:rPr>
      </w:pPr>
      <w:r>
        <w:rPr>
          <w:rFonts w:hint="eastAsia" w:ascii="楷体_GB2312" w:hAnsi="楷体_GB2312" w:eastAsia="楷体_GB2312" w:cs="楷体_GB2312"/>
          <w:b/>
          <w:bCs/>
          <w:color w:val="auto"/>
        </w:rPr>
        <w:t>1.打造新一代信息技术人才支撑平台</w:t>
      </w:r>
    </w:p>
    <w:p>
      <w:pPr>
        <w:ind w:firstLine="640"/>
        <w:rPr>
          <w:rFonts w:ascii="仿宋_GB2312" w:hAnsi="仿宋_GB2312" w:cs="仿宋_GB2312"/>
          <w:color w:val="auto"/>
        </w:rPr>
      </w:pPr>
      <w:r>
        <w:rPr>
          <w:rFonts w:hint="eastAsia" w:ascii="仿宋_GB2312" w:hAnsi="仿宋_GB2312" w:cs="仿宋_GB2312"/>
          <w:color w:val="auto"/>
        </w:rPr>
        <w:t>深入实施“黄河人才计划”人才工程，持续推进人工智能、大数据、互联网等新一代信息技术重点领域人才支撑计划、企业家领航计划和高技能人才振兴计划。以大学、科研院所、博士后流动站、院士工作站、新型研发机构、企业技术创新中心为主体，建立以政府为引导，政府、大学、科研院所、企业等多方参与，争取政府、社会等多方融资，以国家新一代信息技术发展战略和重大科技工程为导向，大力吸引国内外新一代信息技术资源、技术与人才，聚焦新一代信息技术应用底层关键技术和共性支撑技术突破，大力支持企业科研工程中心、企业博士后流动站、院士工作站的建立，不断支持高校、科研院所和企业的深度融合，加快郑州市新一代信息技术人才及科研攻关平台建设，有效提升郑州市新一代信息技术研究的基础地位与创新力。</w:t>
      </w:r>
    </w:p>
    <w:p>
      <w:pPr>
        <w:rPr>
          <w:rFonts w:ascii="楷体_GB2312" w:hAnsi="楷体_GB2312" w:eastAsia="楷体_GB2312" w:cs="楷体_GB2312"/>
          <w:b/>
          <w:bCs/>
          <w:color w:val="auto"/>
        </w:rPr>
      </w:pPr>
      <w:r>
        <w:rPr>
          <w:rFonts w:hint="eastAsia" w:ascii="楷体_GB2312" w:hAnsi="楷体_GB2312" w:eastAsia="楷体_GB2312" w:cs="楷体_GB2312"/>
          <w:b/>
          <w:bCs/>
          <w:color w:val="auto"/>
        </w:rPr>
        <w:t>2.打造面向全球的科技成果转化平台</w:t>
      </w:r>
    </w:p>
    <w:p>
      <w:pPr>
        <w:ind w:firstLine="640"/>
        <w:rPr>
          <w:rFonts w:ascii="仿宋_GB2312" w:hAnsi="仿宋_GB2312" w:cs="仿宋_GB2312"/>
          <w:color w:val="auto"/>
        </w:rPr>
      </w:pPr>
      <w:r>
        <w:rPr>
          <w:rFonts w:hint="eastAsia" w:ascii="仿宋_GB2312" w:hAnsi="仿宋_GB2312" w:cs="仿宋_GB2312"/>
          <w:color w:val="auto"/>
        </w:rPr>
        <w:t>充分借鉴国家专利审协河南中心、中国技术交易所国家级技术交易网络平台技E网、国家知识产权创意示范园区、河南省科技成果交易中心的成功经验和工作基础，创建郑州市大数据交易中心、科技成果交易中心，充分融合郑州市科研机构、大专院校、重点企业等机构已有的项目资源和市场渠道，对接国际成果转化平台，为企业提供资源汇聚、智能撮合、推介路演、中介服务、运维管理、诚信体系等六大服务。支持企业通过技术交易、技术入股等方式进行产学研合作，搭建产业创新交易平台，促进重大创新科技成果转化。强化专利技术突破与保护，围绕智能芯片、智能终端产品、新一代智能应用服务系统等新一代信息技术开展攻关，将企业技术标准与专利工作有机结合，加强对产业核心技术专利的保护机制，推进我市新一代信息技术应用产业的专利信息数据库和服务平台建设。</w:t>
      </w:r>
    </w:p>
    <w:p>
      <w:pPr>
        <w:rPr>
          <w:rFonts w:ascii="楷体_GB2312" w:hAnsi="楷体_GB2312" w:eastAsia="楷体_GB2312" w:cs="楷体_GB2312"/>
          <w:b/>
          <w:bCs/>
          <w:color w:val="auto"/>
        </w:rPr>
      </w:pPr>
      <w:r>
        <w:rPr>
          <w:rFonts w:hint="eastAsia" w:ascii="楷体_GB2312" w:hAnsi="楷体_GB2312" w:eastAsia="楷体_GB2312" w:cs="楷体_GB2312"/>
          <w:b/>
          <w:bCs/>
          <w:color w:val="auto"/>
        </w:rPr>
        <w:t>3.打造新一代信息技术应用体验中心</w:t>
      </w:r>
    </w:p>
    <w:p>
      <w:pPr>
        <w:ind w:firstLine="640"/>
        <w:rPr>
          <w:rFonts w:ascii="仿宋_GB2312" w:hAnsi="仿宋_GB2312" w:cs="仿宋_GB2312"/>
          <w:color w:val="auto"/>
        </w:rPr>
      </w:pPr>
      <w:r>
        <w:rPr>
          <w:rFonts w:hint="eastAsia" w:ascii="仿宋_GB2312" w:hAnsi="仿宋_GB2312" w:cs="仿宋_GB2312"/>
          <w:color w:val="auto"/>
          <w:szCs w:val="32"/>
        </w:rPr>
        <w:t>围绕产业发展、城市运营、民生服务</w:t>
      </w:r>
      <w:r>
        <w:rPr>
          <w:rFonts w:hint="eastAsia" w:ascii="仿宋_GB2312" w:hAnsi="仿宋_GB2312" w:cs="仿宋_GB2312"/>
          <w:color w:val="auto"/>
        </w:rPr>
        <w:t>，强化各地、各区、各企业体验中心的建设</w:t>
      </w:r>
      <w:r>
        <w:rPr>
          <w:rFonts w:hint="eastAsia" w:ascii="仿宋_GB2312" w:hAnsi="仿宋_GB2312" w:cs="仿宋_GB2312"/>
          <w:color w:val="auto"/>
          <w:szCs w:val="32"/>
        </w:rPr>
        <w:t>，加快推进</w:t>
      </w:r>
      <w:r>
        <w:rPr>
          <w:rFonts w:hint="eastAsia" w:ascii="仿宋_GB2312" w:hAnsi="仿宋_GB2312" w:cs="仿宋_GB2312"/>
          <w:color w:val="auto"/>
        </w:rPr>
        <w:t>新一代信息技术</w:t>
      </w:r>
      <w:r>
        <w:rPr>
          <w:rFonts w:hint="eastAsia" w:ascii="仿宋_GB2312" w:hAnsi="仿宋_GB2312" w:cs="仿宋_GB2312"/>
          <w:color w:val="auto"/>
          <w:szCs w:val="32"/>
        </w:rPr>
        <w:t>及产品的融合应用，打造一批</w:t>
      </w:r>
      <w:r>
        <w:rPr>
          <w:rFonts w:hint="eastAsia" w:ascii="仿宋_GB2312" w:hAnsi="仿宋_GB2312" w:cs="仿宋_GB2312"/>
          <w:color w:val="auto"/>
        </w:rPr>
        <w:t>新一代信息技术</w:t>
      </w:r>
      <w:r>
        <w:rPr>
          <w:rFonts w:hint="eastAsia" w:ascii="仿宋_GB2312" w:hAnsi="仿宋_GB2312" w:cs="仿宋_GB2312"/>
          <w:color w:val="auto"/>
          <w:szCs w:val="32"/>
        </w:rPr>
        <w:t>创新应用标杆</w:t>
      </w:r>
      <w:r>
        <w:rPr>
          <w:rFonts w:hint="eastAsia" w:ascii="仿宋_GB2312" w:hAnsi="仿宋_GB2312" w:cs="仿宋_GB2312"/>
          <w:color w:val="auto"/>
        </w:rPr>
        <w:t>，提升公众的获得感和体验感。在城市的高铁站、机场、地铁等公共场所部署5G网络、路况信息显示、信息查询、智慧引领、安防防控、公共卫生信息提示等新一代信息技术的产品和设备，让市民有智慧城市的新体验。加快新一代信息技术在三农方面的体验应用，利用新一代信息技术发展农业生产、乡村旅游、健康养老、科普教育、文化创意、农村电商等业态，不断增强农村对新一代信息技术的体验感。加快新一代信息技术在工业制造方面的体验应用，打造工业互联网平台，促进工业制造企业技术研发、工业设计、采购分销、生产控制、营运管理、售后服务等环节向专业化、智能化、高端化提升，让企业工人有新一代信息技术在生产应用方面的新体验，让用户对新产品有新一代信息技术服务的新体验。</w:t>
      </w:r>
    </w:p>
    <w:p>
      <w:pPr>
        <w:pStyle w:val="5"/>
        <w:rPr>
          <w:rFonts w:ascii="仿宋_GB2312" w:hAnsi="仿宋_GB2312" w:cs="仿宋_GB2312"/>
          <w:color w:val="auto"/>
        </w:rPr>
      </w:pPr>
      <w:bookmarkStart w:id="32" w:name="_Toc6687"/>
      <w:r>
        <w:rPr>
          <w:rFonts w:hint="eastAsia" w:ascii="仿宋_GB2312" w:hAnsi="仿宋_GB2312" w:cs="仿宋_GB2312"/>
          <w:color w:val="auto"/>
        </w:rPr>
        <w:t>（三）新型基础设施建设工程</w:t>
      </w:r>
      <w:bookmarkEnd w:id="32"/>
    </w:p>
    <w:p>
      <w:pPr>
        <w:ind w:firstLine="640"/>
        <w:rPr>
          <w:rFonts w:ascii="楷体_GB2312" w:hAnsi="楷体_GB2312" w:eastAsia="楷体_GB2312" w:cs="楷体_GB2312"/>
          <w:b/>
          <w:bCs/>
          <w:color w:val="auto"/>
        </w:rPr>
      </w:pPr>
      <w:r>
        <w:rPr>
          <w:rFonts w:hint="eastAsia" w:ascii="仿宋" w:hAnsi="仿宋" w:cs="仿宋"/>
          <w:color w:val="auto"/>
          <w:sz w:val="32"/>
          <w:szCs w:val="32"/>
        </w:rPr>
        <w:t>围绕新基建基础设施体系</w:t>
      </w:r>
      <w:r>
        <w:rPr>
          <w:rFonts w:hint="eastAsia" w:ascii="仿宋" w:hAnsi="仿宋" w:cs="仿宋"/>
          <w:color w:val="auto"/>
          <w:sz w:val="32"/>
          <w:szCs w:val="32"/>
          <w:lang w:eastAsia="zh-CN"/>
        </w:rPr>
        <w:t>，</w:t>
      </w:r>
      <w:r>
        <w:rPr>
          <w:rFonts w:hint="eastAsia" w:ascii="仿宋" w:hAnsi="仿宋" w:cs="仿宋"/>
          <w:color w:val="auto"/>
          <w:sz w:val="32"/>
          <w:szCs w:val="32"/>
        </w:rPr>
        <w:t>建设加快新基建项目的布局和建设、示范应用，全面发挥新基建对区域创新发展的推动作用；</w:t>
      </w:r>
      <w:r>
        <w:rPr>
          <w:rFonts w:hint="eastAsia" w:ascii="仿宋" w:hAnsi="仿宋" w:cs="仿宋"/>
          <w:color w:val="auto"/>
          <w:sz w:val="32"/>
          <w:szCs w:val="32"/>
          <w:lang w:val="en-US" w:eastAsia="zh-CN"/>
        </w:rPr>
        <w:t>为</w:t>
      </w:r>
      <w:r>
        <w:rPr>
          <w:rFonts w:hint="eastAsia" w:ascii="仿宋" w:hAnsi="仿宋" w:cs="仿宋"/>
          <w:color w:val="auto"/>
          <w:sz w:val="32"/>
          <w:szCs w:val="32"/>
        </w:rPr>
        <w:t>郑州市生态化、数字化、智能化、高速化、新旧动能转换、建立现代化经济体系</w:t>
      </w:r>
      <w:r>
        <w:rPr>
          <w:rFonts w:hint="eastAsia" w:ascii="仿宋" w:hAnsi="仿宋" w:cs="仿宋"/>
          <w:color w:val="auto"/>
          <w:sz w:val="32"/>
          <w:szCs w:val="32"/>
          <w:lang w:val="en-US" w:eastAsia="zh-CN"/>
        </w:rPr>
        <w:t>提供有力支撑</w:t>
      </w:r>
      <w:r>
        <w:rPr>
          <w:rFonts w:hint="eastAsia" w:ascii="仿宋" w:hAnsi="仿宋" w:cs="仿宋"/>
          <w:color w:val="auto"/>
          <w:sz w:val="32"/>
          <w:szCs w:val="32"/>
        </w:rPr>
        <w:t>。</w:t>
      </w:r>
    </w:p>
    <w:p>
      <w:pPr>
        <w:rPr>
          <w:rFonts w:ascii="楷体_GB2312" w:hAnsi="楷体_GB2312" w:eastAsia="楷体_GB2312" w:cs="楷体_GB2312"/>
          <w:b/>
          <w:bCs/>
          <w:color w:val="auto"/>
        </w:rPr>
      </w:pPr>
      <w:r>
        <w:rPr>
          <w:rFonts w:hint="eastAsia" w:ascii="楷体_GB2312" w:hAnsi="楷体_GB2312" w:eastAsia="楷体_GB2312" w:cs="楷体_GB2312"/>
          <w:b/>
          <w:bCs/>
          <w:color w:val="auto"/>
        </w:rPr>
        <w:t>1.加快推进新型网络基础设施建设</w:t>
      </w:r>
    </w:p>
    <w:p>
      <w:pPr>
        <w:ind w:firstLine="640"/>
        <w:rPr>
          <w:rFonts w:hint="eastAsia" w:ascii="仿宋_GB2312" w:hAnsi="仿宋_GB2312" w:cs="仿宋_GB2312"/>
          <w:color w:val="auto"/>
        </w:rPr>
      </w:pPr>
      <w:r>
        <w:rPr>
          <w:rFonts w:hint="eastAsia" w:ascii="仿宋_GB2312" w:hAnsi="仿宋_GB2312" w:cs="仿宋_GB2312"/>
          <w:color w:val="auto"/>
        </w:rPr>
        <w:t>对郑州市城区、县（市）城区和乡镇驻地城域传输网、IP城域网节点设备新建和扩容，开展县城至乡镇、市至县城之间光缆、通信杆路/管道、光传输设备建设和扩容，提升农村地区宽带用户接入速率和普及水平。以铁塔公司和基础通信运营商为主体，统筹建设5G网络基础设施。将5G基站站址、机房及管线、电力等配套设施纳入郑州市政基础设施专项规划，协调解决5G基站的选址和建设等问题，做好5G基站设施的配套电网建设与改造工作，满足5G基站设施的运营用电需求。结合郑州5G+北斗基础设施建设，整合各类资源，形成区域高精度北斗位置服务网。推动应急救援、跨境通关、大众位置服务、车辆监控、高精度位置服务、WiFi室内定位等北斗应用示范实施，打造北斗产业发展集聚区，不断推进北斗产业落地。</w:t>
      </w:r>
    </w:p>
    <w:p>
      <w:pPr>
        <w:pStyle w:val="2"/>
      </w:pPr>
    </w:p>
    <w:p>
      <w:pPr>
        <w:rPr>
          <w:rFonts w:ascii="楷体_GB2312" w:hAnsi="楷体_GB2312" w:eastAsia="楷体_GB2312" w:cs="楷体_GB2312"/>
          <w:b/>
          <w:bCs/>
          <w:color w:val="auto"/>
        </w:rPr>
      </w:pPr>
      <w:r>
        <w:rPr>
          <w:rFonts w:hint="eastAsia" w:ascii="楷体_GB2312" w:hAnsi="楷体_GB2312" w:eastAsia="楷体_GB2312" w:cs="楷体_GB2312"/>
          <w:b/>
          <w:bCs/>
          <w:color w:val="auto"/>
        </w:rPr>
        <w:t>2.建设中部城市工业互联网大数据中心</w:t>
      </w:r>
    </w:p>
    <w:p>
      <w:pPr>
        <w:ind w:firstLine="640"/>
        <w:rPr>
          <w:rFonts w:ascii="仿宋_GB2312" w:hAnsi="仿宋_GB2312" w:cs="仿宋_GB2312"/>
          <w:color w:val="auto"/>
        </w:rPr>
      </w:pPr>
      <w:r>
        <w:rPr>
          <w:rFonts w:hint="eastAsia" w:ascii="仿宋_GB2312" w:hAnsi="仿宋_GB2312" w:cs="仿宋_GB2312"/>
          <w:color w:val="auto"/>
        </w:rPr>
        <w:t>以郑州市电子信息工业、新材料、生物医药、现代食品制造、家居和品牌服装制造、汽车及装备制造、铝及铝精深加工工业等为基础，充分利用郑州市国家互联网二级节点优势，积极申报国家互联网一级节点建设，不断推进郑州市以工业互联网大数据中心为代表的数据中心建设，通过对工业互联网大数据资源进行汇聚整合，打造郑州工业互联网平台建设。加强数据标准化顶层设计和推广，优先制定参考模型、元数据、数据采集、数据接口、数据交易、数据标识解析体系、数据质量评价等工业大数据标准，在我市重点工业制造企业开展数据标准规范试点示范。加快推进区块链技术在工业互联网数据确权、确责和交易中的应用，确保数据采集、传输、存储、处理、应用等各环节的数据安全，为数据价值的有效释放提供保障。</w:t>
      </w:r>
    </w:p>
    <w:p>
      <w:pPr>
        <w:rPr>
          <w:rFonts w:ascii="仿宋_GB2312" w:hAnsi="仿宋_GB2312" w:cs="仿宋_GB2312"/>
          <w:b/>
          <w:bCs/>
          <w:color w:val="auto"/>
        </w:rPr>
      </w:pPr>
      <w:r>
        <w:rPr>
          <w:rFonts w:hint="eastAsia" w:ascii="楷体_GB2312" w:hAnsi="楷体_GB2312" w:eastAsia="楷体_GB2312" w:cs="楷体_GB2312"/>
          <w:b/>
          <w:bCs/>
          <w:color w:val="auto"/>
        </w:rPr>
        <w:t>3.持续推进智慧城市基础设施建设</w:t>
      </w:r>
    </w:p>
    <w:p>
      <w:pPr>
        <w:ind w:firstLine="640"/>
        <w:rPr>
          <w:rFonts w:ascii="仿宋_GB2312" w:hAnsi="仿宋_GB2312" w:cs="仿宋_GB2312"/>
          <w:color w:val="auto"/>
        </w:rPr>
      </w:pPr>
      <w:r>
        <w:rPr>
          <w:rFonts w:hint="eastAsia" w:ascii="仿宋_GB2312" w:hAnsi="仿宋_GB2312" w:cs="仿宋_GB2312"/>
          <w:color w:val="auto"/>
        </w:rPr>
        <w:t>完善城市大脑工程,打造智慧城市数据底座。建立完善城市综合管理服务平台，推进市政基础设施智能化改造。加快城市各类杆(塔)共杆建设,推广多功能智慧杆，发展智慧管网、智慧园区、智慧井盖等。建设全市统一数字信息视觉网络和服务平台,加强公有视频监控资源整合和共享利用。建设智慧交通基础设施。加快公路、轨道交通、航空等传统基础设施数字化改造。建设全市交通大数据中心。建设智能网联汽车云控平台,推进“5G+车联网”建设。实施智慧社区示范工程,支持智能停车、智慧门禁、智慧养老等应用。推广城市智能物流设施和末端配送设施应用。打造具有区域特色的智慧城市示范区，建成5个智慧社区样板。</w:t>
      </w:r>
    </w:p>
    <w:p>
      <w:pPr>
        <w:pStyle w:val="5"/>
        <w:rPr>
          <w:rFonts w:ascii="仿宋_GB2312" w:hAnsi="仿宋_GB2312" w:cs="仿宋_GB2312"/>
          <w:color w:val="auto"/>
        </w:rPr>
      </w:pPr>
      <w:bookmarkStart w:id="33" w:name="_Toc14125"/>
      <w:r>
        <w:rPr>
          <w:rFonts w:hint="eastAsia" w:ascii="仿宋_GB2312" w:hAnsi="仿宋_GB2312" w:cs="仿宋_GB2312"/>
          <w:color w:val="auto"/>
        </w:rPr>
        <w:t>（四）试点示范推广应用工程</w:t>
      </w:r>
      <w:bookmarkEnd w:id="33"/>
    </w:p>
    <w:p>
      <w:pPr>
        <w:ind w:firstLine="640"/>
        <w:rPr>
          <w:rFonts w:hint="eastAsia" w:ascii="仿宋_GB2312" w:hAnsi="仿宋_GB2312" w:cs="仿宋_GB2312"/>
          <w:color w:val="auto"/>
        </w:rPr>
      </w:pPr>
      <w:r>
        <w:rPr>
          <w:rFonts w:hint="eastAsia" w:ascii="仿宋_GB2312" w:hAnsi="仿宋_GB2312" w:cs="仿宋_GB2312"/>
          <w:color w:val="auto"/>
        </w:rPr>
        <w:t>积极探索和建立</w:t>
      </w:r>
      <w:r>
        <w:rPr>
          <w:rFonts w:hint="eastAsia" w:ascii="仿宋_GB2312" w:hAnsi="仿宋_GB2312" w:cs="仿宋_GB2312"/>
          <w:color w:val="auto"/>
          <w:lang w:val="en-US" w:eastAsia="zh-CN"/>
        </w:rPr>
        <w:t>新一代信息技术</w:t>
      </w:r>
      <w:r>
        <w:rPr>
          <w:rFonts w:hint="eastAsia" w:ascii="仿宋_GB2312" w:hAnsi="仿宋_GB2312" w:cs="仿宋_GB2312"/>
          <w:color w:val="auto"/>
        </w:rPr>
        <w:t>重大示范项目，</w:t>
      </w:r>
      <w:r>
        <w:rPr>
          <w:rFonts w:hint="eastAsia" w:ascii="仿宋_GB2312" w:hAnsi="仿宋_GB2312" w:cs="仿宋_GB2312"/>
          <w:color w:val="auto"/>
          <w:lang w:val="en-US" w:eastAsia="zh-CN"/>
        </w:rPr>
        <w:t>打造</w:t>
      </w:r>
      <w:r>
        <w:rPr>
          <w:rFonts w:hint="eastAsia" w:ascii="仿宋_GB2312" w:hAnsi="仿宋_GB2312" w:cs="仿宋_GB2312"/>
          <w:color w:val="auto"/>
        </w:rPr>
        <w:t>标杆典范，形成可复制可推广的经验做法，</w:t>
      </w:r>
      <w:r>
        <w:rPr>
          <w:rFonts w:hint="eastAsia" w:ascii="仿宋_GB2312" w:hAnsi="仿宋_GB2312" w:cs="仿宋_GB2312"/>
          <w:color w:val="auto"/>
          <w:lang w:val="en-US" w:eastAsia="zh-CN"/>
        </w:rPr>
        <w:t>与各相关</w:t>
      </w:r>
      <w:r>
        <w:rPr>
          <w:rFonts w:hint="eastAsia" w:ascii="仿宋_GB2312" w:hAnsi="仿宋_GB2312" w:cs="仿宋_GB2312"/>
          <w:color w:val="auto"/>
        </w:rPr>
        <w:t>行业深度融合推广，带动新一代信息技术在各</w:t>
      </w:r>
      <w:r>
        <w:rPr>
          <w:rFonts w:hint="eastAsia" w:ascii="仿宋_GB2312" w:hAnsi="仿宋_GB2312" w:cs="仿宋_GB2312"/>
          <w:color w:val="auto"/>
          <w:lang w:val="en-US" w:eastAsia="zh-CN"/>
        </w:rPr>
        <w:t>个</w:t>
      </w:r>
      <w:r>
        <w:rPr>
          <w:rFonts w:hint="eastAsia" w:ascii="仿宋_GB2312" w:hAnsi="仿宋_GB2312" w:cs="仿宋_GB2312"/>
          <w:color w:val="auto"/>
        </w:rPr>
        <w:t>行业</w:t>
      </w:r>
      <w:r>
        <w:rPr>
          <w:rFonts w:hint="eastAsia" w:ascii="仿宋_GB2312" w:hAnsi="仿宋_GB2312" w:cs="仿宋_GB2312"/>
          <w:color w:val="auto"/>
          <w:lang w:val="en-US" w:eastAsia="zh-CN"/>
        </w:rPr>
        <w:t>的</w:t>
      </w:r>
      <w:r>
        <w:rPr>
          <w:rFonts w:hint="eastAsia" w:ascii="仿宋_GB2312" w:hAnsi="仿宋_GB2312" w:cs="仿宋_GB2312"/>
          <w:color w:val="auto"/>
        </w:rPr>
        <w:t>应用发展。</w:t>
      </w:r>
    </w:p>
    <w:p>
      <w:pPr>
        <w:rPr>
          <w:rFonts w:ascii="楷体_GB2312" w:hAnsi="楷体_GB2312" w:eastAsia="楷体_GB2312" w:cs="楷体_GB2312"/>
          <w:b/>
          <w:bCs/>
          <w:color w:val="auto"/>
        </w:rPr>
      </w:pPr>
      <w:r>
        <w:rPr>
          <w:rFonts w:hint="eastAsia" w:ascii="楷体_GB2312" w:hAnsi="楷体_GB2312" w:eastAsia="楷体_GB2312" w:cs="楷体_GB2312"/>
          <w:b/>
          <w:bCs/>
          <w:color w:val="auto"/>
        </w:rPr>
        <w:t>1.实施新一代信息技术项目重大项目</w:t>
      </w:r>
    </w:p>
    <w:p>
      <w:pPr>
        <w:ind w:firstLine="640"/>
        <w:rPr>
          <w:rFonts w:ascii="仿宋_GB2312" w:hAnsi="仿宋_GB2312" w:cs="仿宋_GB2312"/>
          <w:color w:val="auto"/>
        </w:rPr>
      </w:pPr>
      <w:r>
        <w:rPr>
          <w:rFonts w:hint="eastAsia" w:ascii="仿宋_GB2312" w:hAnsi="仿宋_GB2312" w:cs="仿宋_GB2312"/>
          <w:color w:val="auto"/>
        </w:rPr>
        <w:t>围绕5G、电子信息制造、信息安全、人工智能、物联网（传感器）、区块链、量子科技等新一代信息技术重点领域，跟踪重大项目，瞄准国内外500强、跨国公司、大型央企、行业龙头企业，精心包装策划一批带动性强、科技含量高的重特大新一代信息技术产业项目，实行部门协作、分类施策，开展精准对接，力争引进一批重特大项目，以重特大项目撬动重点领域取得突破，带动产业整体规模迅速攀升，牵引配套产业协同发展。建设最新一代柔性电路板生产研发基地总部，建立国家级技术中心实验室，带动上下游企业同步落地。加大引入新一代信息技术产业集群龙头项目的力度，以总部企业为龙头，打造新一代信息技术及相关融合产业集群，促进产业链核心环节在空间上高度集聚，助推区域经济高质量、可持续发展，打造新一代信息产业的“中原总部”。</w:t>
      </w:r>
    </w:p>
    <w:p>
      <w:pPr>
        <w:rPr>
          <w:rFonts w:ascii="楷体_GB2312" w:hAnsi="楷体_GB2312" w:eastAsia="楷体_GB2312" w:cs="楷体_GB2312"/>
          <w:b/>
          <w:bCs/>
          <w:color w:val="auto"/>
        </w:rPr>
      </w:pPr>
      <w:r>
        <w:rPr>
          <w:rFonts w:hint="eastAsia" w:ascii="楷体_GB2312" w:hAnsi="楷体_GB2312" w:eastAsia="楷体_GB2312" w:cs="楷体_GB2312"/>
          <w:b/>
          <w:bCs/>
          <w:color w:val="auto"/>
        </w:rPr>
        <w:t>2.支持新一代信息技术示范项目</w:t>
      </w:r>
    </w:p>
    <w:p>
      <w:pPr>
        <w:ind w:firstLine="640"/>
        <w:rPr>
          <w:rFonts w:ascii="仿宋_GB2312" w:hAnsi="仿宋_GB2312" w:cs="仿宋_GB2312"/>
          <w:color w:val="auto"/>
        </w:rPr>
      </w:pPr>
      <w:r>
        <w:rPr>
          <w:rFonts w:hint="eastAsia" w:ascii="仿宋_GB2312" w:hAnsi="仿宋_GB2312" w:cs="仿宋_GB2312"/>
          <w:color w:val="auto"/>
        </w:rPr>
        <w:t>围绕新一代信息技术关键核心技术攻关，进行重大创新产品研发和产业化。对示范企业进行择优选拔，将其打造升级为省级或国家级创新示范企业。打造郑州市新一代信息技术试点示范体系，不断培育市级、省级和国家级示范企业，加强国家级大数据产业发展试点示范、国家级制造业与互联网融合发展试点示范、国家工业互联网平台试点示范、国家级智能制造试点示范、国家智能制造综合标准化与新模式应用试点示范以及省级制造业与互联网融合发展试点示范和省级智能工厂（车间）等新一代信息技术示范企业的建设。</w:t>
      </w:r>
    </w:p>
    <w:p>
      <w:pPr>
        <w:rPr>
          <w:rFonts w:ascii="楷体_GB2312" w:hAnsi="楷体_GB2312" w:eastAsia="楷体_GB2312" w:cs="楷体_GB2312"/>
          <w:b/>
          <w:bCs/>
          <w:color w:val="auto"/>
        </w:rPr>
      </w:pPr>
      <w:r>
        <w:rPr>
          <w:rFonts w:hint="eastAsia" w:ascii="楷体_GB2312" w:hAnsi="楷体_GB2312" w:eastAsia="楷体_GB2312" w:cs="楷体_GB2312"/>
          <w:b/>
          <w:bCs/>
          <w:color w:val="auto"/>
        </w:rPr>
        <w:t>3.推进新一代信息技术融合应用</w:t>
      </w:r>
    </w:p>
    <w:p>
      <w:pPr>
        <w:ind w:firstLine="640"/>
        <w:rPr>
          <w:rFonts w:ascii="仿宋_GB2312" w:hAnsi="仿宋_GB2312" w:cs="仿宋_GB2312"/>
          <w:color w:val="auto"/>
        </w:rPr>
      </w:pPr>
      <w:r>
        <w:rPr>
          <w:rFonts w:hint="eastAsia" w:ascii="仿宋_GB2312" w:hAnsi="仿宋_GB2312" w:cs="仿宋_GB2312"/>
          <w:color w:val="auto"/>
        </w:rPr>
        <w:t>鼓励基于新一代信息技术的产业组织、商业模式、消费模式等各类创新，促进新一代信息技术和经济社会全面融合发展。深入推进智能制造，鼓励支持新一代人工智能技术在制造业各环节的创新应用，培育推广智能制造新模式、新业态，系统提升制造装备、制造过程、细分行业应用的智能化水平，加快产业智能化升级，建设4-5个新一代信息技术深度融合智能制造应用示范项目。面向社会保障、健康医疗、教育等民生领域，大力支持各类新一代信息技术示范应用，推动民生类公共服务向新一代信息技术延伸。深化新一代信息技术与农业、林业、能源、金融、旅游、交通、物流等重点行业的融合，推动农业科技信息服务平台、智能用电平台、网上展览会、智慧旅游公共信息服务平台、面向郑州市交通运输物流公共信息平台等重点信息服务平台建设，促进信息交流、贸易融通、人员协作。</w:t>
      </w:r>
    </w:p>
    <w:p>
      <w:pPr>
        <w:pStyle w:val="5"/>
        <w:rPr>
          <w:rFonts w:ascii="仿宋_GB2312" w:hAnsi="仿宋_GB2312" w:cs="仿宋_GB2312"/>
          <w:color w:val="auto"/>
        </w:rPr>
      </w:pPr>
      <w:bookmarkStart w:id="34" w:name="_Toc16945"/>
      <w:r>
        <w:rPr>
          <w:rFonts w:hint="eastAsia" w:ascii="仿宋_GB2312" w:hAnsi="仿宋_GB2312" w:cs="仿宋_GB2312"/>
          <w:color w:val="auto"/>
        </w:rPr>
        <w:t>（五）重点领域融合赋能工程</w:t>
      </w:r>
      <w:bookmarkEnd w:id="34"/>
    </w:p>
    <w:p>
      <w:pPr>
        <w:ind w:firstLine="640"/>
        <w:rPr>
          <w:rFonts w:ascii="仿宋_GB2312" w:hAnsi="仿宋_GB2312" w:cs="仿宋_GB2312"/>
          <w:color w:val="auto"/>
        </w:rPr>
      </w:pPr>
      <w:r>
        <w:rPr>
          <w:rFonts w:hint="eastAsia" w:ascii="仿宋_GB2312" w:hAnsi="仿宋_GB2312" w:cs="仿宋_GB2312"/>
          <w:color w:val="auto"/>
          <w:lang w:val="en-US" w:eastAsia="zh-CN"/>
        </w:rPr>
        <w:t>面向各</w:t>
      </w:r>
      <w:r>
        <w:rPr>
          <w:rFonts w:hint="eastAsia" w:ascii="仿宋_GB2312" w:hAnsi="仿宋_GB2312" w:cs="仿宋_GB2312"/>
          <w:color w:val="auto"/>
        </w:rPr>
        <w:t>重点领域遴选一批融合试点项目，通过试点先行、示范引领，探索形成可复制、可推广的新模式</w:t>
      </w:r>
      <w:r>
        <w:rPr>
          <w:rFonts w:hint="eastAsia" w:ascii="仿宋_GB2312" w:hAnsi="仿宋_GB2312" w:cs="仿宋_GB2312"/>
          <w:color w:val="auto"/>
          <w:lang w:eastAsia="zh-CN"/>
        </w:rPr>
        <w:t>、</w:t>
      </w:r>
      <w:r>
        <w:rPr>
          <w:rFonts w:hint="eastAsia" w:ascii="仿宋_GB2312" w:hAnsi="仿宋_GB2312" w:cs="仿宋_GB2312"/>
          <w:color w:val="auto"/>
        </w:rPr>
        <w:t>新业态，</w:t>
      </w:r>
      <w:r>
        <w:rPr>
          <w:rFonts w:hint="eastAsia" w:ascii="仿宋_GB2312" w:hAnsi="仿宋_GB2312" w:cs="仿宋_GB2312"/>
          <w:color w:val="auto"/>
          <w:lang w:val="en-US" w:eastAsia="zh-CN"/>
        </w:rPr>
        <w:t>探索形成</w:t>
      </w:r>
      <w:r>
        <w:rPr>
          <w:rFonts w:hint="eastAsia" w:ascii="仿宋_GB2312" w:hAnsi="仿宋_GB2312" w:cs="仿宋_GB2312"/>
          <w:color w:val="auto"/>
        </w:rPr>
        <w:t>新一代信息技术与重点领域融合发展新路径。</w:t>
      </w:r>
    </w:p>
    <w:p>
      <w:pPr>
        <w:rPr>
          <w:rFonts w:ascii="楷体_GB2312" w:hAnsi="楷体_GB2312" w:eastAsia="楷体_GB2312" w:cs="楷体_GB2312"/>
          <w:b/>
          <w:bCs/>
          <w:color w:val="auto"/>
        </w:rPr>
      </w:pPr>
      <w:r>
        <w:rPr>
          <w:rFonts w:hint="eastAsia" w:ascii="楷体_GB2312" w:hAnsi="楷体_GB2312" w:eastAsia="楷体_GB2312" w:cs="楷体_GB2312"/>
          <w:b/>
          <w:bCs/>
          <w:color w:val="auto"/>
        </w:rPr>
        <w:t>1.新一代信息技术与工业经济</w:t>
      </w:r>
    </w:p>
    <w:p>
      <w:pPr>
        <w:ind w:firstLine="640"/>
        <w:rPr>
          <w:rFonts w:ascii="仿宋_GB2312" w:hAnsi="仿宋_GB2312" w:cs="仿宋_GB2312"/>
          <w:color w:val="auto"/>
        </w:rPr>
      </w:pPr>
      <w:r>
        <w:rPr>
          <w:rFonts w:hint="eastAsia" w:ascii="仿宋_GB2312" w:hAnsi="仿宋_GB2312" w:cs="仿宋_GB2312"/>
          <w:color w:val="auto"/>
        </w:rPr>
        <w:t>推进新一代信息技术在工业领域的全面渗透和深入应用。深化互联网、大数据、云计算、人工智能等新一代信息技术和制造业融合应用，“量身”制定与产业发展实际相匹配的智能化改造推进行动，推进关键岗位“机器换人”，支持企业根据自身情况建设智能生产线、智能车间、智能工厂，支持打造智能制造公共服务平台，推进智能制造基础软硬件产品、智能制造装备的研发和产业化，提升智能制造支撑能力。打造工业互联网生态体系。构建“以平台为核心，以标识解析二级节点建设、工业互联网大数据中心、企业上云、工业APP培育为支撑”的工业互联网生态体系；围绕郑州市重点行业和块状经济，孵化一批行业级、区域级工业互联网平台；围绕龙头企业上下游产业链生态圈数字化、网络化、智能化发展需求，培育一批企业级工业互联网平台。支持面向铝加工、水泥、纺织等郑州市块状经济产业集聚区，培育具有地方特色的区域级工业互联网平台。</w:t>
      </w:r>
    </w:p>
    <w:p>
      <w:pPr>
        <w:rPr>
          <w:rFonts w:ascii="楷体_GB2312" w:hAnsi="楷体_GB2312" w:eastAsia="楷体_GB2312" w:cs="楷体_GB2312"/>
          <w:b/>
          <w:bCs/>
          <w:color w:val="auto"/>
        </w:rPr>
      </w:pPr>
      <w:r>
        <w:rPr>
          <w:rFonts w:hint="eastAsia" w:ascii="楷体_GB2312" w:hAnsi="楷体_GB2312" w:eastAsia="楷体_GB2312" w:cs="楷体_GB2312"/>
          <w:b/>
          <w:bCs/>
          <w:color w:val="auto"/>
        </w:rPr>
        <w:t>2.新一代信息技术与城市治理</w:t>
      </w:r>
    </w:p>
    <w:p>
      <w:pPr>
        <w:ind w:firstLine="640"/>
        <w:rPr>
          <w:rFonts w:ascii="仿宋_GB2312" w:hAnsi="仿宋_GB2312" w:cs="仿宋_GB2312"/>
          <w:color w:val="auto"/>
        </w:rPr>
      </w:pPr>
      <w:r>
        <w:rPr>
          <w:rFonts w:hint="eastAsia" w:ascii="仿宋_GB2312" w:hAnsi="仿宋_GB2312" w:cs="仿宋_GB2312"/>
          <w:color w:val="auto"/>
        </w:rPr>
        <w:t>郑州市以“建设智慧城管、提高城市品质、打造幸福郑州”为目标，利用新一代信息技术来管理城市，形成与城市经济社会发展水平相适应的城市综合管理新模式，提高城市管理水平。逐步完善或实现无线数据采集子系统、监督中心受理子系统、协同工作子系统、地理编码子系统、监督指挥子系统、综合评价子系统、构建与维护子系统、基础数据资源管理子系统及数据交换子系统以及领导移动督办子系统、视频监控立案子系统、户外广告管理子系统、园林绿化管理子系统、业务短信系统的开发和应用。以惠民、便民为最终目的，将智慧城市治理目标予以分解，建立感知、分析、服务、指挥、监察“五位一体”的城市综合管理信息平台，形成精、细、敏、捷的城市智慧治理体系，提高城市品质，让人民群众生活更加舒适便捷。</w:t>
      </w:r>
    </w:p>
    <w:p>
      <w:pPr>
        <w:rPr>
          <w:rFonts w:ascii="楷体_GB2312" w:hAnsi="楷体_GB2312" w:eastAsia="楷体_GB2312" w:cs="楷体_GB2312"/>
          <w:b/>
          <w:bCs/>
          <w:color w:val="auto"/>
        </w:rPr>
      </w:pPr>
      <w:r>
        <w:rPr>
          <w:rFonts w:hint="eastAsia" w:ascii="楷体_GB2312" w:hAnsi="楷体_GB2312" w:eastAsia="楷体_GB2312" w:cs="楷体_GB2312"/>
          <w:b/>
          <w:bCs/>
          <w:color w:val="auto"/>
        </w:rPr>
        <w:t>3.新一代信息技术与新服务业</w:t>
      </w:r>
    </w:p>
    <w:p>
      <w:pPr>
        <w:ind w:firstLine="640"/>
        <w:rPr>
          <w:rFonts w:ascii="仿宋_GB2312" w:hAnsi="仿宋_GB2312" w:cs="仿宋_GB2312"/>
          <w:b/>
          <w:bCs/>
          <w:color w:val="auto"/>
        </w:rPr>
      </w:pPr>
      <w:r>
        <w:rPr>
          <w:rFonts w:hint="eastAsia" w:ascii="仿宋_GB2312" w:hAnsi="仿宋_GB2312" w:cs="仿宋_GB2312"/>
          <w:color w:val="auto"/>
        </w:rPr>
        <w:t>支持新一代信息技术在生活性服务业的创新发展。加大新零售政策扶持，建设新零售基础设施，支持实体商贸零售行业的新零售转型；建设新零售创新创业服务平台，发展分享经济、订制包销、社交电商等模式；加强新零售与智能制造、旅游、游戏、影视、文创等产业的融合发展，为生活服务业打造线上平台。全面赋能文化创意产业。推进新一代信息技术赋能文化旅游、动漫游戏、网络视听、文化会展等文创产业，用“数字+”讲好“郑州故事”。传承弘扬黄河文化、炎黄文化、商都文化等中原文化，推进人工智能、虚拟现实、大数据等技术在动漫游戏中应用，支持发展电子竞技和云VR游戏。支持新一代信息技术和康养产业融合发展，研究建立数字化康养服务体系，创新服务模式，丰富智慧康养应用，实现康养服务资源的有效调配，服务质量效率水平快速提升；深入挖掘健康养老大数据资源价值，重点为老年人提供便捷、精准、高效的健康养老服务。</w:t>
      </w:r>
    </w:p>
    <w:p>
      <w:pPr>
        <w:pStyle w:val="5"/>
        <w:rPr>
          <w:rFonts w:ascii="仿宋_GB2312" w:hAnsi="仿宋_GB2312" w:cs="仿宋_GB2312"/>
          <w:color w:val="auto"/>
        </w:rPr>
      </w:pPr>
      <w:bookmarkStart w:id="35" w:name="_Toc16270"/>
      <w:r>
        <w:rPr>
          <w:rFonts w:hint="eastAsia" w:ascii="仿宋_GB2312" w:hAnsi="仿宋_GB2312" w:cs="仿宋_GB2312"/>
          <w:color w:val="auto"/>
        </w:rPr>
        <w:t>（六）产业高端智库建设工程</w:t>
      </w:r>
      <w:bookmarkEnd w:id="35"/>
    </w:p>
    <w:p>
      <w:pPr>
        <w:rPr>
          <w:rFonts w:hint="eastAsia"/>
          <w:color w:val="auto"/>
          <w:lang w:val="en-US" w:eastAsia="zh-CN"/>
        </w:rPr>
      </w:pPr>
      <w:r>
        <w:rPr>
          <w:rFonts w:hint="eastAsia"/>
          <w:color w:val="auto"/>
          <w:lang w:val="en-US" w:eastAsia="zh-CN"/>
        </w:rPr>
        <w:t>建设新一代信息技术高端智库，汇聚专家团队，健全产业联盟，建设产业图谱，准确绘制新一代信息技术产业创新链、产业链和服务链，高质量推进新一代信息技术健康发展。</w:t>
      </w:r>
    </w:p>
    <w:p>
      <w:pPr>
        <w:rPr>
          <w:rFonts w:ascii="仿宋_GB2312" w:hAnsi="仿宋_GB2312" w:cs="仿宋_GB2312"/>
          <w:b/>
          <w:bCs/>
          <w:color w:val="auto"/>
        </w:rPr>
      </w:pPr>
      <w:r>
        <w:rPr>
          <w:rFonts w:hint="eastAsia" w:ascii="楷体_GB2312" w:hAnsi="楷体_GB2312" w:eastAsia="楷体_GB2312" w:cs="楷体_GB2312"/>
          <w:b/>
          <w:bCs/>
          <w:color w:val="auto"/>
        </w:rPr>
        <w:t>1.成立新一代信息技术专家服务团</w:t>
      </w:r>
    </w:p>
    <w:p>
      <w:pPr>
        <w:ind w:firstLine="640"/>
        <w:rPr>
          <w:rFonts w:ascii="仿宋_GB2312" w:hAnsi="仿宋_GB2312" w:cs="仿宋_GB2312"/>
          <w:color w:val="auto"/>
        </w:rPr>
      </w:pPr>
      <w:r>
        <w:rPr>
          <w:rFonts w:hint="eastAsia" w:ascii="仿宋_GB2312" w:hAnsi="仿宋_GB2312" w:cs="仿宋_GB2312"/>
          <w:color w:val="auto"/>
        </w:rPr>
        <w:t>新一代信息技术涉及技术领域宽且复杂，创新迭代发展变化快，为进一步推进新一代信息技术产业升级和企业数字化转型等重点项目顺利实施，帮助企业数字化改造“点到面”，“点”上推进生产工序和环节“机器换人”，“面”上推进数字化车间/智能工厂建设。分批分步骤认定一批对新一代信息技术产业链全面熟悉的智能咨询服务团队，团队由信息化工程师、研究员、教授组成。政府通过购买服务方式委托智能咨询服务团队深入全市辖区内对规上和规下企业把脉问诊并形成诊断报告，引导企业以诊断报告为基础自愿选择智能咨询服务团队或联合开展数字化转型解决方案。建立诊断成果数据库，根据企业诊断报告和初步解决方案，建立诊断工作档案和信息服务平台，为规上企业和规下企业实施新一代信息技术改造提供指导服务。</w:t>
      </w:r>
    </w:p>
    <w:p>
      <w:pPr>
        <w:rPr>
          <w:rFonts w:ascii="仿宋_GB2312" w:hAnsi="仿宋_GB2312" w:cs="仿宋_GB2312"/>
          <w:b/>
          <w:bCs/>
          <w:color w:val="auto"/>
        </w:rPr>
      </w:pPr>
      <w:r>
        <w:rPr>
          <w:rFonts w:hint="eastAsia" w:ascii="楷体_GB2312" w:hAnsi="楷体_GB2312" w:eastAsia="楷体_GB2312" w:cs="楷体_GB2312"/>
          <w:b/>
          <w:bCs/>
          <w:color w:val="auto"/>
        </w:rPr>
        <w:t>2.健全新一代信息技术产业联盟</w:t>
      </w:r>
    </w:p>
    <w:p>
      <w:pPr>
        <w:ind w:firstLine="640"/>
        <w:rPr>
          <w:rFonts w:ascii="仿宋_GB2312" w:hAnsi="仿宋_GB2312" w:cs="仿宋_GB2312"/>
          <w:color w:val="auto"/>
        </w:rPr>
      </w:pPr>
      <w:r>
        <w:rPr>
          <w:rFonts w:hint="eastAsia" w:ascii="仿宋_GB2312" w:hAnsi="仿宋_GB2312" w:cs="仿宋_GB2312"/>
          <w:color w:val="auto"/>
        </w:rPr>
        <w:t>新一代信息技术产业已成为数字经济发展的新引擎，是进一步推进供给侧和需求侧改革的新机遇。新一代信息技术产业联盟汇聚数字技术行业顶尖企业、高校、科研院所、投资机构等优势资源，旨在以国家省市产业政策为导向，以市场为驱动，以企业为主体，搭建产学研用合作平台。新一代信息技术联盟首先要发挥桥梁纽带作用，强化联盟成员之间的沟通交流，协调各方资源，形成发展合力；其次要组织开展新一代信息技术领域的基础理论研究、技术协同创新、项目联合攻关、标准研究制定、成果推广应用、人才引进培育，建立新一代信息技术发展的良好生态；三要加快推动新一代信息技术示范应用，发挥联盟优势，推进实施一批新一代信息技术应用试点示范项目，推动新一代信息技术与实体经济深度融合，加快推进实体经济换挡增效。</w:t>
      </w:r>
    </w:p>
    <w:p>
      <w:pPr>
        <w:rPr>
          <w:rFonts w:ascii="仿宋_GB2312" w:hAnsi="仿宋_GB2312" w:cs="仿宋_GB2312"/>
          <w:b/>
          <w:bCs/>
          <w:color w:val="auto"/>
        </w:rPr>
      </w:pPr>
      <w:r>
        <w:rPr>
          <w:rFonts w:hint="eastAsia" w:ascii="楷体_GB2312" w:hAnsi="楷体_GB2312" w:eastAsia="楷体_GB2312" w:cs="楷体_GB2312"/>
          <w:b/>
          <w:bCs/>
          <w:color w:val="auto"/>
        </w:rPr>
        <w:t>3.建设新一代信息技术产业图谱</w:t>
      </w:r>
    </w:p>
    <w:p>
      <w:pPr>
        <w:ind w:firstLine="640"/>
        <w:rPr>
          <w:rFonts w:ascii="仿宋_GB2312" w:hAnsi="仿宋_GB2312" w:cs="仿宋_GB2312"/>
          <w:color w:val="auto"/>
        </w:rPr>
      </w:pPr>
      <w:r>
        <w:rPr>
          <w:rFonts w:hint="eastAsia" w:ascii="仿宋_GB2312" w:hAnsi="仿宋_GB2312" w:cs="仿宋_GB2312"/>
          <w:color w:val="auto"/>
        </w:rPr>
        <w:t>加快完善新一代信息技术产业链构建。为使新一代信息技术重点项目推进，急需梳理我市新一代信息技术产业链的构成，由政府委托专业咨询机构或智能化咨询服务团队深入全市辖区深度调研，绘制全市新一代信息技术产业链图谱，全面了解我市新一代信息技术产业上游、中游和下游的分布，准确掌握新一代信息技术产业链中的薄弱环节。扎实推进新一代信息技术稳链强链延链工程，优势领域上台阶，核心领域补短板，新兴领域谋突破，根据新一代信息技术产业图谱，精准招商，重点培育，打造一批优势领域的独角兽企业，核心领域的瞪羚企业，新兴领域的小巨人企业，数字赋能实体经济，引领数字经济高质量发展。</w:t>
      </w:r>
    </w:p>
    <w:p>
      <w:pPr>
        <w:pStyle w:val="4"/>
        <w:ind w:firstLine="640"/>
        <w:rPr>
          <w:color w:val="auto"/>
        </w:rPr>
      </w:pPr>
      <w:bookmarkStart w:id="36" w:name="_Toc23912"/>
      <w:r>
        <w:rPr>
          <w:rFonts w:hint="eastAsia"/>
          <w:color w:val="auto"/>
        </w:rPr>
        <w:t>七、保障措施</w:t>
      </w:r>
      <w:bookmarkEnd w:id="36"/>
    </w:p>
    <w:p>
      <w:pPr>
        <w:pStyle w:val="5"/>
        <w:rPr>
          <w:color w:val="auto"/>
        </w:rPr>
      </w:pPr>
      <w:bookmarkStart w:id="37" w:name="_Toc11896"/>
      <w:r>
        <w:rPr>
          <w:rFonts w:hint="eastAsia"/>
          <w:color w:val="auto"/>
        </w:rPr>
        <w:t>（一）加强组织领导</w:t>
      </w:r>
      <w:bookmarkEnd w:id="37"/>
    </w:p>
    <w:p>
      <w:pPr>
        <w:ind w:firstLine="640"/>
        <w:rPr>
          <w:color w:val="auto"/>
        </w:rPr>
      </w:pPr>
      <w:r>
        <w:rPr>
          <w:rFonts w:hint="eastAsia" w:ascii="仿宋_GB2312" w:hAnsi="仿宋_GB2312" w:eastAsia="仿宋_GB2312" w:cs="仿宋_GB2312"/>
          <w:color w:val="auto"/>
          <w:sz w:val="32"/>
          <w:szCs w:val="32"/>
        </w:rPr>
        <w:t>加强规划后续配套政策的跟进，以规划为引领，围绕目标扎实推进，确立新一代信息技术产业促使全市产业新旧动能转换的重点发展地位，实现新一代信息技术产业跨越式发展。在郑州市战略性新兴产业发展工作领导小组领导下，组建新一代信息技术产业推进工作专班，具体负责新一代信息技术产业发展政策，部署各项工作安排，协调市直部门、各区县（市）之间的统筹发展机制。发挥政府指导和政策引领,面向市场需求，突出企业创新主体地位，聚焦三大领域、五大任务和六个重点工程，为国家中心城市建设赋能助力。</w:t>
      </w:r>
    </w:p>
    <w:p>
      <w:pPr>
        <w:pStyle w:val="5"/>
        <w:rPr>
          <w:color w:val="auto"/>
        </w:rPr>
      </w:pPr>
      <w:bookmarkStart w:id="38" w:name="_Toc13852"/>
      <w:r>
        <w:rPr>
          <w:rFonts w:hint="eastAsia"/>
          <w:color w:val="auto"/>
        </w:rPr>
        <w:t>（二）加大资金扶持</w:t>
      </w:r>
      <w:bookmarkEnd w:id="38"/>
    </w:p>
    <w:p>
      <w:pPr>
        <w:ind w:firstLine="640"/>
        <w:rPr>
          <w:color w:val="auto"/>
        </w:rPr>
      </w:pPr>
      <w:r>
        <w:rPr>
          <w:rFonts w:hint="eastAsia" w:ascii="仿宋_GB2312" w:hAnsi="仿宋_GB2312" w:eastAsia="仿宋_GB2312" w:cs="仿宋_GB2312"/>
          <w:color w:val="auto"/>
          <w:sz w:val="32"/>
          <w:szCs w:val="32"/>
        </w:rPr>
        <w:t>在郑州国家中心城市产业发展母基金下设立新一代信息技术产业产业发展专项子基金，鼓励</w:t>
      </w:r>
      <w:r>
        <w:rPr>
          <w:rFonts w:hint="eastAsia" w:ascii="仿宋_GB2312" w:hAnsi="仿宋_GB2312" w:eastAsia="仿宋_GB2312" w:cs="仿宋_GB2312"/>
          <w:color w:val="auto"/>
          <w:sz w:val="32"/>
          <w:szCs w:val="32"/>
          <w:lang w:val="en-US" w:eastAsia="zh-CN"/>
        </w:rPr>
        <w:t>引导</w:t>
      </w:r>
      <w:r>
        <w:rPr>
          <w:rFonts w:hint="eastAsia" w:ascii="仿宋_GB2312" w:hAnsi="仿宋_GB2312" w:eastAsia="仿宋_GB2312" w:cs="仿宋_GB2312"/>
          <w:color w:val="auto"/>
          <w:sz w:val="32"/>
          <w:szCs w:val="32"/>
        </w:rPr>
        <w:t>社会资本、龙头、骨干企业加大新一代信息技术产业重点领域和传统产业数字化转型的投入力度。支持成立产业投资促进联盟，建立产业发展多元投资体系。根据新一代信息技术产业发展规划时序，按照资金使用方向有序推进各区县（市）的重大项目和重点项目落地实施，结合我市实际重点向信息安全、人工智能、大数据等领域倾斜，兼顾新一代信息技术与传统产业融合发展，培育一批新技术、新业态、新模式，确保目标完成。</w:t>
      </w:r>
    </w:p>
    <w:p>
      <w:pPr>
        <w:pStyle w:val="5"/>
        <w:rPr>
          <w:color w:val="auto"/>
        </w:rPr>
      </w:pPr>
      <w:bookmarkStart w:id="39" w:name="_Toc32422"/>
      <w:r>
        <w:rPr>
          <w:rFonts w:hint="eastAsia"/>
          <w:color w:val="auto"/>
        </w:rPr>
        <w:t>（三）强化人才引培</w:t>
      </w:r>
      <w:bookmarkEnd w:id="39"/>
    </w:p>
    <w:p>
      <w:pPr>
        <w:ind w:firstLine="640"/>
        <w:rPr>
          <w:color w:val="auto"/>
        </w:rPr>
      </w:pPr>
      <w:r>
        <w:rPr>
          <w:rFonts w:hint="eastAsia"/>
          <w:color w:val="auto"/>
        </w:rPr>
        <w:t>在“黄河人才计划”基础上，继续完善人才引进工作机制，针对新一代信息技术专门人才制定倾斜政策，重点引进新一代信息技术关键领域学科带头人和创新团队，优化留人用人环境，实施特事特办，使更多海内外高中端人才汇聚郑州创新创业。鼓励郑州大学、信息工程大学、河南大学等一流高校着重培养新一代信息技术高端人才，其他在郑普通高校重点培养新一代信息技术专业技术人才，积极推进“码农计划”，搭建政校企合作平台，大力推进产教深度融合，建立学校与企业人才双向流动机制。借力在郑清华大学启迪控股、中科院先进技术研究院、中科院计算所、中科院过程所、浙江大学中原研究院等国内优质资源，通过政府合作形式，引导参与新一代信息技术重大项目科研攻关，带动新一代信息技术关键技术突破，构建高能级创新平台。</w:t>
      </w:r>
    </w:p>
    <w:p>
      <w:pPr>
        <w:pStyle w:val="5"/>
        <w:rPr>
          <w:color w:val="auto"/>
        </w:rPr>
      </w:pPr>
      <w:bookmarkStart w:id="40" w:name="_Toc22228"/>
      <w:r>
        <w:rPr>
          <w:rFonts w:hint="eastAsia"/>
          <w:color w:val="auto"/>
        </w:rPr>
        <w:t>（四）优化发展环境</w:t>
      </w:r>
      <w:bookmarkEnd w:id="40"/>
    </w:p>
    <w:p>
      <w:pPr>
        <w:ind w:firstLine="640"/>
        <w:rPr>
          <w:color w:val="auto"/>
        </w:rPr>
      </w:pPr>
      <w:r>
        <w:rPr>
          <w:rFonts w:hint="eastAsia"/>
          <w:color w:val="auto"/>
        </w:rPr>
        <w:t>通过各类政策倾斜，大力营造适合新一代信息技术产业优先发展的政策环境，培育一批“专精特新”企业。积极支持新一代信息技术产业重大项目落地实施</w:t>
      </w:r>
      <w:r>
        <w:rPr>
          <w:rFonts w:hint="eastAsia"/>
          <w:color w:val="auto"/>
          <w:lang w:eastAsia="zh-CN"/>
        </w:rPr>
        <w:t>、</w:t>
      </w:r>
      <w:r>
        <w:rPr>
          <w:rFonts w:hint="eastAsia"/>
          <w:color w:val="auto"/>
        </w:rPr>
        <w:t>“卡脖子”项目攻关</w:t>
      </w:r>
      <w:r>
        <w:rPr>
          <w:rFonts w:hint="eastAsia"/>
          <w:color w:val="auto"/>
          <w:lang w:eastAsia="zh-CN"/>
        </w:rPr>
        <w:t>、</w:t>
      </w:r>
      <w:r>
        <w:rPr>
          <w:rFonts w:hint="eastAsia"/>
          <w:color w:val="auto"/>
        </w:rPr>
        <w:t>重点传统企业数字化改造等，在建设用地、用电、用水等生产要素供给及通信、交通运输、环评等方面给予积极支持，做好跟踪服务。鼓励各</w:t>
      </w:r>
      <w:r>
        <w:rPr>
          <w:rFonts w:hint="eastAsia" w:ascii="仿宋_GB2312" w:hAnsi="仿宋_GB2312" w:eastAsia="仿宋_GB2312" w:cs="仿宋_GB2312"/>
          <w:color w:val="auto"/>
          <w:sz w:val="32"/>
          <w:szCs w:val="32"/>
        </w:rPr>
        <w:t>区县（市）</w:t>
      </w:r>
      <w:r>
        <w:rPr>
          <w:rFonts w:hint="eastAsia"/>
          <w:color w:val="auto"/>
        </w:rPr>
        <w:t>根据区位优势积极建设新一代信息技术特色产业（园区）基地、技术创新中心及公共服务平台，为产业健康发展夯实基础。</w:t>
      </w:r>
    </w:p>
    <w:p>
      <w:pPr>
        <w:pStyle w:val="5"/>
        <w:rPr>
          <w:color w:val="auto"/>
        </w:rPr>
      </w:pPr>
      <w:bookmarkStart w:id="41" w:name="_Toc14174"/>
      <w:bookmarkStart w:id="42" w:name="_Toc2132"/>
      <w:r>
        <w:rPr>
          <w:rFonts w:hint="eastAsia"/>
          <w:color w:val="auto"/>
        </w:rPr>
        <w:t>（五）加强监测评估</w:t>
      </w:r>
      <w:bookmarkEnd w:id="41"/>
      <w:bookmarkEnd w:id="42"/>
    </w:p>
    <w:p>
      <w:pPr>
        <w:ind w:firstLine="640"/>
        <w:rPr>
          <w:color w:val="auto"/>
        </w:rPr>
      </w:pPr>
      <w:r>
        <w:rPr>
          <w:rFonts w:hint="eastAsia"/>
          <w:color w:val="auto"/>
        </w:rPr>
        <w:t>根据新一代信息技术产业发展与传统产业融合发展的经济增长统计指标，要求各</w:t>
      </w:r>
      <w:r>
        <w:rPr>
          <w:rFonts w:hint="eastAsia" w:ascii="仿宋_GB2312" w:hAnsi="仿宋_GB2312" w:eastAsia="仿宋_GB2312" w:cs="仿宋_GB2312"/>
          <w:color w:val="auto"/>
          <w:sz w:val="32"/>
          <w:szCs w:val="32"/>
        </w:rPr>
        <w:t>区县（市）</w:t>
      </w:r>
      <w:r>
        <w:rPr>
          <w:rFonts w:hint="eastAsia"/>
          <w:color w:val="auto"/>
        </w:rPr>
        <w:t>按月、季、年上报相关新一代信息技术产业以及融合产业发展统计数据，</w:t>
      </w:r>
      <w:r>
        <w:rPr>
          <w:rFonts w:hint="eastAsia"/>
          <w:color w:val="auto"/>
          <w:lang w:val="en-US" w:eastAsia="zh-CN"/>
        </w:rPr>
        <w:t>由郑州市有关部门</w:t>
      </w:r>
      <w:r>
        <w:rPr>
          <w:rFonts w:hint="eastAsia"/>
          <w:color w:val="auto"/>
        </w:rPr>
        <w:t>委托第三方专业咨询机构发布《郑州市新一代信息技术白皮书》。对立项的新一代信息技术产业中的重大、重点和专项等建设项目实行主体责任制，相关政府机构（或委托第三方咨询公司）负责对项目建设情况跟踪、监测、评估，根据评估报告确定项目继续、纠正</w:t>
      </w:r>
      <w:r>
        <w:rPr>
          <w:rFonts w:hint="eastAsia" w:ascii="仿宋_GB2312" w:hAnsi="仿宋_GB2312" w:eastAsia="仿宋_GB2312" w:cs="仿宋_GB2312"/>
          <w:color w:val="auto"/>
        </w:rPr>
        <w:t>，确保产业主要发展目标、重点任务的落实，并将其列入政府考核目标</w:t>
      </w:r>
      <w:r>
        <w:rPr>
          <w:rFonts w:hint="eastAsia" w:ascii="仿宋_GB2312" w:hAnsi="仿宋_GB2312" w:cs="仿宋_GB2312"/>
          <w:color w:val="auto"/>
          <w:lang w:eastAsia="zh-CN"/>
        </w:rPr>
        <w:t>。</w:t>
      </w:r>
    </w:p>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0" w:num="1"/>
      <w:rtlGutter w:val="0"/>
      <w:docGrid w:type="lines" w:linePitch="43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ind w:firstLine="400"/>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jc w:val="center"/>
    </w:pPr>
  </w:p>
  <w:p>
    <w:pPr>
      <w:pStyle w:val="15"/>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ind w:firstLine="400"/>
      <w:rPr>
        <w:sz w:val="20"/>
        <w:szCs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0" w:firstLineChars="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ind w:firstLine="400"/>
      <w:rPr>
        <w:sz w:val="20"/>
        <w:szCs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1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ind w:firstLine="360"/>
                          </w:pPr>
                          <w:r>
                            <w:rPr>
                              <w:rFonts w:hint="eastAsia"/>
                            </w:rPr>
                            <w:fldChar w:fldCharType="begin"/>
                          </w:r>
                          <w:r>
                            <w:rPr>
                              <w:rFonts w:hint="eastAsia"/>
                            </w:rPr>
                            <w:instrText xml:space="preserve"> PAGE  \* MERGEFORMAT </w:instrText>
                          </w:r>
                          <w:r>
                            <w:rPr>
                              <w:rFonts w:hint="eastAsia"/>
                            </w:rPr>
                            <w:fldChar w:fldCharType="separate"/>
                          </w:r>
                          <w:r>
                            <w:t>22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15"/>
                      <w:ind w:firstLine="360"/>
                    </w:pPr>
                    <w:r>
                      <w:rPr>
                        <w:rFonts w:hint="eastAsia"/>
                      </w:rPr>
                      <w:fldChar w:fldCharType="begin"/>
                    </w:r>
                    <w:r>
                      <w:rPr>
                        <w:rFonts w:hint="eastAsia"/>
                      </w:rPr>
                      <w:instrText xml:space="preserve"> PAGE  \* MERGEFORMAT </w:instrText>
                    </w:r>
                    <w:r>
                      <w:rPr>
                        <w:rFonts w:hint="eastAsia"/>
                      </w:rPr>
                      <w:fldChar w:fldCharType="separate"/>
                    </w:r>
                    <w:r>
                      <w:t>22</w:t>
                    </w:r>
                    <w:r>
                      <w:rPr>
                        <w:rFonts w:hint="eastAsia"/>
                      </w:rPr>
                      <w:fldChar w:fldCharType="end"/>
                    </w:r>
                  </w:p>
                </w:txbxContent>
              </v:textbox>
            </v:shape>
          </w:pict>
        </mc:Fallback>
      </mc:AlternateContent>
    </w:r>
  </w:p>
  <w:p>
    <w:pPr>
      <w:pStyle w:val="15"/>
      <w:ind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ind w:firstLine="0" w:firstLineChars="0"/>
      <w:rPr>
        <w:sz w:val="20"/>
        <w:szCs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29273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2927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ind w:firstLine="0" w:firstLineChars="0"/>
                            <w:rPr>
                              <w:rFonts w:ascii="仿宋_GB2312" w:hAnsi="仿宋_GB2312" w:cs="仿宋_GB2312"/>
                              <w:sz w:val="28"/>
                              <w:szCs w:val="28"/>
                            </w:rPr>
                          </w:pPr>
                          <w:r>
                            <w:rPr>
                              <w:rFonts w:hint="eastAsia" w:ascii="仿宋_GB2312" w:hAnsi="仿宋_GB2312" w:cs="仿宋_GB2312"/>
                              <w:sz w:val="28"/>
                              <w:szCs w:val="28"/>
                            </w:rPr>
                            <w:fldChar w:fldCharType="begin"/>
                          </w:r>
                          <w:r>
                            <w:rPr>
                              <w:rFonts w:hint="eastAsia" w:ascii="仿宋_GB2312" w:hAnsi="仿宋_GB2312" w:cs="仿宋_GB2312"/>
                              <w:sz w:val="28"/>
                              <w:szCs w:val="28"/>
                            </w:rPr>
                            <w:instrText xml:space="preserve"> PAGE  \* MERGEFORMAT </w:instrText>
                          </w:r>
                          <w:r>
                            <w:rPr>
                              <w:rFonts w:hint="eastAsia" w:ascii="仿宋_GB2312" w:hAnsi="仿宋_GB2312" w:cs="仿宋_GB2312"/>
                              <w:sz w:val="28"/>
                              <w:szCs w:val="28"/>
                            </w:rPr>
                            <w:fldChar w:fldCharType="separate"/>
                          </w:r>
                          <w:r>
                            <w:rPr>
                              <w:rFonts w:ascii="仿宋_GB2312" w:hAnsi="仿宋_GB2312" w:cs="仿宋_GB2312"/>
                              <w:sz w:val="28"/>
                              <w:szCs w:val="28"/>
                            </w:rPr>
                            <w:t>27</w:t>
                          </w:r>
                          <w:r>
                            <w:rPr>
                              <w:rFonts w:hint="eastAsia" w:ascii="仿宋_GB2312" w:hAnsi="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0pt;height:23.05pt;width:144pt;mso-position-horizontal:center;mso-position-horizontal-relative:margin;mso-wrap-style:none;z-index:251660288;mso-width-relative:page;mso-height-relative:page;" filled="f" stroked="f" coordsize="21600,21600" o:gfxdata="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AVdhEHUAAAABAEAAA8AAAAAAAAAAQAgAAAAIgAAAGRycy9kb3ducmV2LnhtbFBLAQIU&#10;ABQAAAAIAIdO4kA1OVxLMAIAAFQEAAAOAAAAAAAAAAEAIAAAACMBAABkcnMvZTJvRG9jLnhtbFBL&#10;BQYAAAAABgAGAFkBAADFBQAAAAA=&#10;">
              <v:fill on="f" focussize="0,0"/>
              <v:stroke on="f" weight="0.5pt"/>
              <v:imagedata o:title=""/>
              <o:lock v:ext="edit" aspectratio="f"/>
              <v:textbox inset="0mm,0mm,0mm,0mm">
                <w:txbxContent>
                  <w:p>
                    <w:pPr>
                      <w:pStyle w:val="15"/>
                      <w:ind w:firstLine="0" w:firstLineChars="0"/>
                      <w:rPr>
                        <w:rFonts w:ascii="仿宋_GB2312" w:hAnsi="仿宋_GB2312" w:cs="仿宋_GB2312"/>
                        <w:sz w:val="28"/>
                        <w:szCs w:val="28"/>
                      </w:rPr>
                    </w:pPr>
                    <w:r>
                      <w:rPr>
                        <w:rFonts w:hint="eastAsia" w:ascii="仿宋_GB2312" w:hAnsi="仿宋_GB2312" w:cs="仿宋_GB2312"/>
                        <w:sz w:val="28"/>
                        <w:szCs w:val="28"/>
                      </w:rPr>
                      <w:fldChar w:fldCharType="begin"/>
                    </w:r>
                    <w:r>
                      <w:rPr>
                        <w:rFonts w:hint="eastAsia" w:ascii="仿宋_GB2312" w:hAnsi="仿宋_GB2312" w:cs="仿宋_GB2312"/>
                        <w:sz w:val="28"/>
                        <w:szCs w:val="28"/>
                      </w:rPr>
                      <w:instrText xml:space="preserve"> PAGE  \* MERGEFORMAT </w:instrText>
                    </w:r>
                    <w:r>
                      <w:rPr>
                        <w:rFonts w:hint="eastAsia" w:ascii="仿宋_GB2312" w:hAnsi="仿宋_GB2312" w:cs="仿宋_GB2312"/>
                        <w:sz w:val="28"/>
                        <w:szCs w:val="28"/>
                      </w:rPr>
                      <w:fldChar w:fldCharType="separate"/>
                    </w:r>
                    <w:r>
                      <w:rPr>
                        <w:rFonts w:ascii="仿宋_GB2312" w:hAnsi="仿宋_GB2312" w:cs="仿宋_GB2312"/>
                        <w:sz w:val="28"/>
                        <w:szCs w:val="28"/>
                      </w:rPr>
                      <w:t>27</w:t>
                    </w:r>
                    <w:r>
                      <w:rPr>
                        <w:rFonts w:hint="eastAsia" w:ascii="仿宋_GB2312" w:hAnsi="仿宋_GB2312" w:cs="仿宋_GB2312"/>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640"/>
      </w:pPr>
      <w:r>
        <w:separator/>
      </w:r>
    </w:p>
  </w:footnote>
  <w:footnote w:type="continuationSeparator" w:id="1">
    <w:p>
      <w:pPr>
        <w:spacing w:line="36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single" w:color="auto" w:sz="4" w:space="1"/>
      </w:pBdr>
      <w:ind w:left="0" w:leftChars="0" w:firstLine="0" w:firstLineChars="0"/>
      <w:jc w:val="center"/>
      <w:rPr>
        <w:rFonts w:ascii="仿宋_GB2312" w:hAnsi="仿宋_GB2312" w:cs="仿宋_GB2312"/>
      </w:rPr>
    </w:pPr>
    <w:r>
      <w:rPr>
        <w:rFonts w:hint="eastAsia" w:ascii="仿宋_GB2312" w:hAnsi="仿宋_GB2312" w:cs="仿宋_GB2312"/>
      </w:rPr>
      <w:t>《郑州市“十四五”新一代信息技术产业发展规划（2021-2025</w:t>
    </w:r>
    <w:r>
      <w:rPr>
        <w:rFonts w:hint="eastAsia" w:ascii="仿宋_GB2312" w:hAnsi="仿宋_GB2312" w:cs="仿宋_GB2312"/>
        <w:lang w:val="en-US" w:eastAsia="zh-CN"/>
      </w:rPr>
      <w:t>年</w:t>
    </w:r>
    <w:r>
      <w:rPr>
        <w:rFonts w:hint="eastAsia" w:ascii="仿宋_GB2312" w:hAnsi="仿宋_GB2312" w:cs="仿宋_GB2312"/>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single" w:color="auto" w:sz="4" w:space="1"/>
      </w:pBdr>
      <w:ind w:firstLine="360"/>
    </w:pPr>
    <w:r>
      <w:rPr>
        <w:rFonts w:hint="eastAsia" w:ascii="仿宋_GB2312" w:hAnsi="仿宋_GB2312" w:cs="仿宋_GB2312"/>
      </w:rPr>
      <w:t>《郑州市“十四五”新一代信息技术产业发展规划（2021-2025</w:t>
    </w:r>
    <w:r>
      <w:rPr>
        <w:rFonts w:hint="eastAsia" w:ascii="仿宋_GB2312" w:hAnsi="仿宋_GB2312" w:cs="仿宋_GB2312"/>
        <w:lang w:val="en-US" w:eastAsia="zh-CN"/>
      </w:rPr>
      <w:t>年</w:t>
    </w:r>
    <w:r>
      <w:rPr>
        <w:rFonts w:hint="eastAsia" w:ascii="仿宋_GB2312" w:hAnsi="仿宋_GB2312" w:cs="仿宋_GB2312"/>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HorizontalSpacing w:val="160"/>
  <w:drawingGridVerticalSpacing w:val="218"/>
  <w:displayVertic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B96AB3"/>
    <w:rsid w:val="00013204"/>
    <w:rsid w:val="0001483B"/>
    <w:rsid w:val="00021EC7"/>
    <w:rsid w:val="0002200A"/>
    <w:rsid w:val="00041CA0"/>
    <w:rsid w:val="00042632"/>
    <w:rsid w:val="00053017"/>
    <w:rsid w:val="00053F47"/>
    <w:rsid w:val="0005510D"/>
    <w:rsid w:val="000553C4"/>
    <w:rsid w:val="00062C0B"/>
    <w:rsid w:val="0006557B"/>
    <w:rsid w:val="000743D0"/>
    <w:rsid w:val="00081384"/>
    <w:rsid w:val="0008696F"/>
    <w:rsid w:val="000872F9"/>
    <w:rsid w:val="000906E2"/>
    <w:rsid w:val="0009413C"/>
    <w:rsid w:val="00096B65"/>
    <w:rsid w:val="000A0311"/>
    <w:rsid w:val="000A5375"/>
    <w:rsid w:val="000A66A2"/>
    <w:rsid w:val="000B112E"/>
    <w:rsid w:val="000B1D22"/>
    <w:rsid w:val="000B2BDB"/>
    <w:rsid w:val="000C16DF"/>
    <w:rsid w:val="000D7A9D"/>
    <w:rsid w:val="000F083F"/>
    <w:rsid w:val="000F45FE"/>
    <w:rsid w:val="000F63B5"/>
    <w:rsid w:val="00100F9F"/>
    <w:rsid w:val="00105A7E"/>
    <w:rsid w:val="00112FF5"/>
    <w:rsid w:val="001208E4"/>
    <w:rsid w:val="00121271"/>
    <w:rsid w:val="00126A38"/>
    <w:rsid w:val="00127B7F"/>
    <w:rsid w:val="00133F42"/>
    <w:rsid w:val="0014407F"/>
    <w:rsid w:val="00152316"/>
    <w:rsid w:val="00153424"/>
    <w:rsid w:val="00156917"/>
    <w:rsid w:val="00171657"/>
    <w:rsid w:val="00176EF1"/>
    <w:rsid w:val="00180BD2"/>
    <w:rsid w:val="00183BCC"/>
    <w:rsid w:val="00186D07"/>
    <w:rsid w:val="001B1C96"/>
    <w:rsid w:val="001B6A39"/>
    <w:rsid w:val="001C2949"/>
    <w:rsid w:val="001D4B7C"/>
    <w:rsid w:val="001E2499"/>
    <w:rsid w:val="001F0BCE"/>
    <w:rsid w:val="001F7DC6"/>
    <w:rsid w:val="00207849"/>
    <w:rsid w:val="00207B6C"/>
    <w:rsid w:val="00216124"/>
    <w:rsid w:val="0021690C"/>
    <w:rsid w:val="002249E0"/>
    <w:rsid w:val="00234572"/>
    <w:rsid w:val="00237EAC"/>
    <w:rsid w:val="002412CD"/>
    <w:rsid w:val="00245887"/>
    <w:rsid w:val="00251915"/>
    <w:rsid w:val="00257431"/>
    <w:rsid w:val="00260EEE"/>
    <w:rsid w:val="00270E6D"/>
    <w:rsid w:val="002773E1"/>
    <w:rsid w:val="00281430"/>
    <w:rsid w:val="0029758D"/>
    <w:rsid w:val="002A4099"/>
    <w:rsid w:val="002A468F"/>
    <w:rsid w:val="002B66E3"/>
    <w:rsid w:val="002C0F93"/>
    <w:rsid w:val="002F4FF3"/>
    <w:rsid w:val="002F7AC0"/>
    <w:rsid w:val="0030347A"/>
    <w:rsid w:val="00312C78"/>
    <w:rsid w:val="00317404"/>
    <w:rsid w:val="003177A4"/>
    <w:rsid w:val="003360DE"/>
    <w:rsid w:val="00340C4E"/>
    <w:rsid w:val="003444DC"/>
    <w:rsid w:val="00351385"/>
    <w:rsid w:val="00366D89"/>
    <w:rsid w:val="0037324D"/>
    <w:rsid w:val="00375268"/>
    <w:rsid w:val="00376298"/>
    <w:rsid w:val="00380760"/>
    <w:rsid w:val="00391A28"/>
    <w:rsid w:val="00395CF9"/>
    <w:rsid w:val="00396D3D"/>
    <w:rsid w:val="003A4DC7"/>
    <w:rsid w:val="003B000F"/>
    <w:rsid w:val="003B66F6"/>
    <w:rsid w:val="003C2201"/>
    <w:rsid w:val="003D7484"/>
    <w:rsid w:val="003D74F5"/>
    <w:rsid w:val="003F1A47"/>
    <w:rsid w:val="003F24DA"/>
    <w:rsid w:val="003F5566"/>
    <w:rsid w:val="00401B40"/>
    <w:rsid w:val="00402740"/>
    <w:rsid w:val="004120F3"/>
    <w:rsid w:val="00412FBA"/>
    <w:rsid w:val="004137B6"/>
    <w:rsid w:val="00422A44"/>
    <w:rsid w:val="00444276"/>
    <w:rsid w:val="004536FF"/>
    <w:rsid w:val="00454F2D"/>
    <w:rsid w:val="004568F3"/>
    <w:rsid w:val="00461BB3"/>
    <w:rsid w:val="00461E66"/>
    <w:rsid w:val="004620D4"/>
    <w:rsid w:val="004706EA"/>
    <w:rsid w:val="004771DF"/>
    <w:rsid w:val="004967F8"/>
    <w:rsid w:val="0049784D"/>
    <w:rsid w:val="004A3420"/>
    <w:rsid w:val="004B2EE8"/>
    <w:rsid w:val="004C0065"/>
    <w:rsid w:val="004C0873"/>
    <w:rsid w:val="004C11C6"/>
    <w:rsid w:val="004D1317"/>
    <w:rsid w:val="004E1282"/>
    <w:rsid w:val="0051373F"/>
    <w:rsid w:val="005168AE"/>
    <w:rsid w:val="00517235"/>
    <w:rsid w:val="00521053"/>
    <w:rsid w:val="005237F8"/>
    <w:rsid w:val="00533283"/>
    <w:rsid w:val="005478FB"/>
    <w:rsid w:val="005503A1"/>
    <w:rsid w:val="005643F5"/>
    <w:rsid w:val="0057129B"/>
    <w:rsid w:val="00584AFF"/>
    <w:rsid w:val="005856CF"/>
    <w:rsid w:val="005976DD"/>
    <w:rsid w:val="005C29BB"/>
    <w:rsid w:val="005D4B70"/>
    <w:rsid w:val="005E2735"/>
    <w:rsid w:val="005E4F6D"/>
    <w:rsid w:val="005F166C"/>
    <w:rsid w:val="005F60CE"/>
    <w:rsid w:val="00610431"/>
    <w:rsid w:val="0061580D"/>
    <w:rsid w:val="006161B0"/>
    <w:rsid w:val="0061707C"/>
    <w:rsid w:val="00624B0A"/>
    <w:rsid w:val="00635F57"/>
    <w:rsid w:val="00640DB7"/>
    <w:rsid w:val="00643C5D"/>
    <w:rsid w:val="00644985"/>
    <w:rsid w:val="00656AF5"/>
    <w:rsid w:val="00663B62"/>
    <w:rsid w:val="006739DE"/>
    <w:rsid w:val="00681DCD"/>
    <w:rsid w:val="00694221"/>
    <w:rsid w:val="00696B13"/>
    <w:rsid w:val="006A16C9"/>
    <w:rsid w:val="006A55A3"/>
    <w:rsid w:val="006A6B28"/>
    <w:rsid w:val="006B21DA"/>
    <w:rsid w:val="006B2F9D"/>
    <w:rsid w:val="006B4662"/>
    <w:rsid w:val="006B5BC0"/>
    <w:rsid w:val="006C082A"/>
    <w:rsid w:val="006C2847"/>
    <w:rsid w:val="006C650A"/>
    <w:rsid w:val="006D1B57"/>
    <w:rsid w:val="006D598B"/>
    <w:rsid w:val="00701282"/>
    <w:rsid w:val="00707B19"/>
    <w:rsid w:val="00710CC9"/>
    <w:rsid w:val="00716CD8"/>
    <w:rsid w:val="00735033"/>
    <w:rsid w:val="00747EA9"/>
    <w:rsid w:val="00764892"/>
    <w:rsid w:val="0077155E"/>
    <w:rsid w:val="00771F95"/>
    <w:rsid w:val="007824AB"/>
    <w:rsid w:val="007824FA"/>
    <w:rsid w:val="007A0CA0"/>
    <w:rsid w:val="007B088F"/>
    <w:rsid w:val="007D2C3E"/>
    <w:rsid w:val="007D59F6"/>
    <w:rsid w:val="007E0232"/>
    <w:rsid w:val="007F6B45"/>
    <w:rsid w:val="0080178F"/>
    <w:rsid w:val="00804702"/>
    <w:rsid w:val="00811367"/>
    <w:rsid w:val="00813305"/>
    <w:rsid w:val="008144DE"/>
    <w:rsid w:val="00815C96"/>
    <w:rsid w:val="008208B6"/>
    <w:rsid w:val="008208C8"/>
    <w:rsid w:val="00840B07"/>
    <w:rsid w:val="00863C5D"/>
    <w:rsid w:val="0086550F"/>
    <w:rsid w:val="00867CD8"/>
    <w:rsid w:val="008847C5"/>
    <w:rsid w:val="00885E41"/>
    <w:rsid w:val="008A3771"/>
    <w:rsid w:val="008A4F78"/>
    <w:rsid w:val="008B2EE5"/>
    <w:rsid w:val="008B436D"/>
    <w:rsid w:val="008D5774"/>
    <w:rsid w:val="008E4B89"/>
    <w:rsid w:val="008E5BEF"/>
    <w:rsid w:val="008E5FD0"/>
    <w:rsid w:val="008F31E6"/>
    <w:rsid w:val="008F3775"/>
    <w:rsid w:val="00906227"/>
    <w:rsid w:val="00907CC7"/>
    <w:rsid w:val="00922258"/>
    <w:rsid w:val="0092739F"/>
    <w:rsid w:val="00936381"/>
    <w:rsid w:val="0094600B"/>
    <w:rsid w:val="00954663"/>
    <w:rsid w:val="00956A77"/>
    <w:rsid w:val="00965103"/>
    <w:rsid w:val="009663E9"/>
    <w:rsid w:val="009779AA"/>
    <w:rsid w:val="00984743"/>
    <w:rsid w:val="00990044"/>
    <w:rsid w:val="00991F11"/>
    <w:rsid w:val="009A2228"/>
    <w:rsid w:val="009A73D8"/>
    <w:rsid w:val="009B2540"/>
    <w:rsid w:val="009B7CAE"/>
    <w:rsid w:val="009C4361"/>
    <w:rsid w:val="009D0E75"/>
    <w:rsid w:val="009D2D03"/>
    <w:rsid w:val="009D3B80"/>
    <w:rsid w:val="00A047FE"/>
    <w:rsid w:val="00A04C16"/>
    <w:rsid w:val="00A11933"/>
    <w:rsid w:val="00A16D27"/>
    <w:rsid w:val="00A170A8"/>
    <w:rsid w:val="00A21924"/>
    <w:rsid w:val="00A3195E"/>
    <w:rsid w:val="00A44D70"/>
    <w:rsid w:val="00A47C3A"/>
    <w:rsid w:val="00A5157D"/>
    <w:rsid w:val="00A52F5E"/>
    <w:rsid w:val="00A55AB2"/>
    <w:rsid w:val="00A635DB"/>
    <w:rsid w:val="00A658F4"/>
    <w:rsid w:val="00A669C8"/>
    <w:rsid w:val="00A76DD4"/>
    <w:rsid w:val="00A85F88"/>
    <w:rsid w:val="00AA27D3"/>
    <w:rsid w:val="00AB602B"/>
    <w:rsid w:val="00AD7B2C"/>
    <w:rsid w:val="00AF13F6"/>
    <w:rsid w:val="00AF225A"/>
    <w:rsid w:val="00AF4939"/>
    <w:rsid w:val="00AF6106"/>
    <w:rsid w:val="00AF636B"/>
    <w:rsid w:val="00AF6B67"/>
    <w:rsid w:val="00B00040"/>
    <w:rsid w:val="00B03A93"/>
    <w:rsid w:val="00B26E0A"/>
    <w:rsid w:val="00B31638"/>
    <w:rsid w:val="00B40B86"/>
    <w:rsid w:val="00B465B3"/>
    <w:rsid w:val="00B467C9"/>
    <w:rsid w:val="00B644BC"/>
    <w:rsid w:val="00B737A1"/>
    <w:rsid w:val="00B73A0C"/>
    <w:rsid w:val="00B810DF"/>
    <w:rsid w:val="00B90A0A"/>
    <w:rsid w:val="00B94CD5"/>
    <w:rsid w:val="00BA17B0"/>
    <w:rsid w:val="00BA3129"/>
    <w:rsid w:val="00BA4169"/>
    <w:rsid w:val="00BA61B1"/>
    <w:rsid w:val="00BA6B52"/>
    <w:rsid w:val="00BB1204"/>
    <w:rsid w:val="00BB192E"/>
    <w:rsid w:val="00BB2038"/>
    <w:rsid w:val="00BC15E0"/>
    <w:rsid w:val="00BC5931"/>
    <w:rsid w:val="00BC6F38"/>
    <w:rsid w:val="00BD0B6C"/>
    <w:rsid w:val="00BD7DE9"/>
    <w:rsid w:val="00BE16A3"/>
    <w:rsid w:val="00BF2B21"/>
    <w:rsid w:val="00BF440F"/>
    <w:rsid w:val="00BF48D1"/>
    <w:rsid w:val="00BF7543"/>
    <w:rsid w:val="00BF79B1"/>
    <w:rsid w:val="00C03AE9"/>
    <w:rsid w:val="00C04A4C"/>
    <w:rsid w:val="00C142A2"/>
    <w:rsid w:val="00C21CCB"/>
    <w:rsid w:val="00C26A10"/>
    <w:rsid w:val="00C31C6E"/>
    <w:rsid w:val="00C32E6F"/>
    <w:rsid w:val="00C43822"/>
    <w:rsid w:val="00C460F6"/>
    <w:rsid w:val="00C47AA3"/>
    <w:rsid w:val="00C538E1"/>
    <w:rsid w:val="00C54B02"/>
    <w:rsid w:val="00C6420B"/>
    <w:rsid w:val="00C65583"/>
    <w:rsid w:val="00C65B74"/>
    <w:rsid w:val="00C828B6"/>
    <w:rsid w:val="00C912C8"/>
    <w:rsid w:val="00C91F18"/>
    <w:rsid w:val="00CA1400"/>
    <w:rsid w:val="00CA2859"/>
    <w:rsid w:val="00CA6FB4"/>
    <w:rsid w:val="00CC1353"/>
    <w:rsid w:val="00CD4F65"/>
    <w:rsid w:val="00CD5E10"/>
    <w:rsid w:val="00CD7485"/>
    <w:rsid w:val="00CE7B52"/>
    <w:rsid w:val="00CF4DCF"/>
    <w:rsid w:val="00CF6A4F"/>
    <w:rsid w:val="00CF72A6"/>
    <w:rsid w:val="00D022AD"/>
    <w:rsid w:val="00D07515"/>
    <w:rsid w:val="00D135AD"/>
    <w:rsid w:val="00D21F51"/>
    <w:rsid w:val="00D24215"/>
    <w:rsid w:val="00D52151"/>
    <w:rsid w:val="00D56B71"/>
    <w:rsid w:val="00D57363"/>
    <w:rsid w:val="00D57585"/>
    <w:rsid w:val="00D708D9"/>
    <w:rsid w:val="00D734E4"/>
    <w:rsid w:val="00D81441"/>
    <w:rsid w:val="00D84217"/>
    <w:rsid w:val="00D874C4"/>
    <w:rsid w:val="00D91FE7"/>
    <w:rsid w:val="00DA25DC"/>
    <w:rsid w:val="00DA6D6F"/>
    <w:rsid w:val="00DC450D"/>
    <w:rsid w:val="00DC5356"/>
    <w:rsid w:val="00DD14E2"/>
    <w:rsid w:val="00DD30F5"/>
    <w:rsid w:val="00DD3E1D"/>
    <w:rsid w:val="00DF1642"/>
    <w:rsid w:val="00DF7FE4"/>
    <w:rsid w:val="00E0067B"/>
    <w:rsid w:val="00E05139"/>
    <w:rsid w:val="00E1062D"/>
    <w:rsid w:val="00E12C94"/>
    <w:rsid w:val="00E20D46"/>
    <w:rsid w:val="00E23323"/>
    <w:rsid w:val="00E23A53"/>
    <w:rsid w:val="00E33078"/>
    <w:rsid w:val="00E3366F"/>
    <w:rsid w:val="00E464B1"/>
    <w:rsid w:val="00E5278E"/>
    <w:rsid w:val="00E55502"/>
    <w:rsid w:val="00E60E15"/>
    <w:rsid w:val="00E6262F"/>
    <w:rsid w:val="00E65F9C"/>
    <w:rsid w:val="00E70604"/>
    <w:rsid w:val="00E70856"/>
    <w:rsid w:val="00E72007"/>
    <w:rsid w:val="00E72B9F"/>
    <w:rsid w:val="00E931E0"/>
    <w:rsid w:val="00E938F1"/>
    <w:rsid w:val="00E97DE8"/>
    <w:rsid w:val="00EA38CA"/>
    <w:rsid w:val="00EA3B56"/>
    <w:rsid w:val="00EA3C34"/>
    <w:rsid w:val="00EA49BC"/>
    <w:rsid w:val="00EB01BE"/>
    <w:rsid w:val="00EB21BA"/>
    <w:rsid w:val="00ED41C7"/>
    <w:rsid w:val="00ED71DC"/>
    <w:rsid w:val="00EF231D"/>
    <w:rsid w:val="00EF2625"/>
    <w:rsid w:val="00F018CA"/>
    <w:rsid w:val="00F01A34"/>
    <w:rsid w:val="00F0328A"/>
    <w:rsid w:val="00F06C48"/>
    <w:rsid w:val="00F12BC0"/>
    <w:rsid w:val="00F174E4"/>
    <w:rsid w:val="00F24302"/>
    <w:rsid w:val="00F30D6A"/>
    <w:rsid w:val="00F35619"/>
    <w:rsid w:val="00F563E0"/>
    <w:rsid w:val="00F64A95"/>
    <w:rsid w:val="00F6510F"/>
    <w:rsid w:val="00F75E15"/>
    <w:rsid w:val="00F87FDC"/>
    <w:rsid w:val="00F900A5"/>
    <w:rsid w:val="00F92153"/>
    <w:rsid w:val="00FA06A6"/>
    <w:rsid w:val="00FA3487"/>
    <w:rsid w:val="00FA3A17"/>
    <w:rsid w:val="00FA3D97"/>
    <w:rsid w:val="00FB2449"/>
    <w:rsid w:val="00FD7406"/>
    <w:rsid w:val="00FE7D50"/>
    <w:rsid w:val="00FF52A4"/>
    <w:rsid w:val="01021D85"/>
    <w:rsid w:val="01296905"/>
    <w:rsid w:val="0147694D"/>
    <w:rsid w:val="01591F58"/>
    <w:rsid w:val="01921C7F"/>
    <w:rsid w:val="01B348A6"/>
    <w:rsid w:val="01B85C81"/>
    <w:rsid w:val="02425566"/>
    <w:rsid w:val="025B218D"/>
    <w:rsid w:val="026B697E"/>
    <w:rsid w:val="0288142C"/>
    <w:rsid w:val="02C17B20"/>
    <w:rsid w:val="032853A1"/>
    <w:rsid w:val="032D4F65"/>
    <w:rsid w:val="033343FE"/>
    <w:rsid w:val="03411A58"/>
    <w:rsid w:val="03CE240A"/>
    <w:rsid w:val="03D078F0"/>
    <w:rsid w:val="0405499F"/>
    <w:rsid w:val="043A097B"/>
    <w:rsid w:val="04481A64"/>
    <w:rsid w:val="04752E96"/>
    <w:rsid w:val="052E33F8"/>
    <w:rsid w:val="0567429C"/>
    <w:rsid w:val="05733E34"/>
    <w:rsid w:val="05897A65"/>
    <w:rsid w:val="05913899"/>
    <w:rsid w:val="06AE7DE2"/>
    <w:rsid w:val="06BC7420"/>
    <w:rsid w:val="06D2078B"/>
    <w:rsid w:val="06D3592E"/>
    <w:rsid w:val="072101DD"/>
    <w:rsid w:val="07705E68"/>
    <w:rsid w:val="07A6512D"/>
    <w:rsid w:val="08B82C9D"/>
    <w:rsid w:val="08CF6046"/>
    <w:rsid w:val="08F04933"/>
    <w:rsid w:val="09DD5DD3"/>
    <w:rsid w:val="09EB1F85"/>
    <w:rsid w:val="0A897340"/>
    <w:rsid w:val="0B376E89"/>
    <w:rsid w:val="0B9456FF"/>
    <w:rsid w:val="0B9830A5"/>
    <w:rsid w:val="0BC94B35"/>
    <w:rsid w:val="0C137D09"/>
    <w:rsid w:val="0CAD0A1F"/>
    <w:rsid w:val="0CDE5A0A"/>
    <w:rsid w:val="0D297058"/>
    <w:rsid w:val="0D423DF0"/>
    <w:rsid w:val="0D701260"/>
    <w:rsid w:val="0D7F08E3"/>
    <w:rsid w:val="0D8E5A52"/>
    <w:rsid w:val="0DB61147"/>
    <w:rsid w:val="0DBC5F66"/>
    <w:rsid w:val="0DFE7175"/>
    <w:rsid w:val="0E114E87"/>
    <w:rsid w:val="0E5C0DEE"/>
    <w:rsid w:val="0F046054"/>
    <w:rsid w:val="0FD54FE0"/>
    <w:rsid w:val="0FE72FAD"/>
    <w:rsid w:val="10357748"/>
    <w:rsid w:val="103A5468"/>
    <w:rsid w:val="10B722DC"/>
    <w:rsid w:val="11A32236"/>
    <w:rsid w:val="11DC776E"/>
    <w:rsid w:val="12234472"/>
    <w:rsid w:val="1272171B"/>
    <w:rsid w:val="12917DEB"/>
    <w:rsid w:val="12946AA6"/>
    <w:rsid w:val="12CC5F1C"/>
    <w:rsid w:val="1323373C"/>
    <w:rsid w:val="13335AC7"/>
    <w:rsid w:val="137C474D"/>
    <w:rsid w:val="13870F14"/>
    <w:rsid w:val="142C0E77"/>
    <w:rsid w:val="144D1264"/>
    <w:rsid w:val="146B1B29"/>
    <w:rsid w:val="14A33C93"/>
    <w:rsid w:val="14DD000D"/>
    <w:rsid w:val="152A6741"/>
    <w:rsid w:val="153B69F8"/>
    <w:rsid w:val="15442369"/>
    <w:rsid w:val="155F2DB1"/>
    <w:rsid w:val="15A51C24"/>
    <w:rsid w:val="15E07FE8"/>
    <w:rsid w:val="15E761CD"/>
    <w:rsid w:val="167643D3"/>
    <w:rsid w:val="16D5640A"/>
    <w:rsid w:val="179A7D37"/>
    <w:rsid w:val="182C1121"/>
    <w:rsid w:val="18551565"/>
    <w:rsid w:val="18590C8E"/>
    <w:rsid w:val="186B1EE7"/>
    <w:rsid w:val="188B7A1B"/>
    <w:rsid w:val="18E00F9B"/>
    <w:rsid w:val="191E46B3"/>
    <w:rsid w:val="195C150E"/>
    <w:rsid w:val="19876509"/>
    <w:rsid w:val="19B527EF"/>
    <w:rsid w:val="19F7466B"/>
    <w:rsid w:val="1A1D32F2"/>
    <w:rsid w:val="1A216095"/>
    <w:rsid w:val="1A426803"/>
    <w:rsid w:val="1B7877E4"/>
    <w:rsid w:val="1BEC5673"/>
    <w:rsid w:val="1CF01292"/>
    <w:rsid w:val="1D24205C"/>
    <w:rsid w:val="1D992A75"/>
    <w:rsid w:val="1DDF33CF"/>
    <w:rsid w:val="1E2265C5"/>
    <w:rsid w:val="1E4F5F81"/>
    <w:rsid w:val="1E6E6CCF"/>
    <w:rsid w:val="1E9B6D32"/>
    <w:rsid w:val="1F373ECC"/>
    <w:rsid w:val="1FA4270F"/>
    <w:rsid w:val="1FD04635"/>
    <w:rsid w:val="1FD83C22"/>
    <w:rsid w:val="1FD92194"/>
    <w:rsid w:val="200324B7"/>
    <w:rsid w:val="2016053D"/>
    <w:rsid w:val="20253067"/>
    <w:rsid w:val="205E18DE"/>
    <w:rsid w:val="207F035E"/>
    <w:rsid w:val="21183D81"/>
    <w:rsid w:val="21B53D1B"/>
    <w:rsid w:val="21BE2D3A"/>
    <w:rsid w:val="21C82F1B"/>
    <w:rsid w:val="21C96553"/>
    <w:rsid w:val="21D3147F"/>
    <w:rsid w:val="21E351C8"/>
    <w:rsid w:val="22273029"/>
    <w:rsid w:val="2230127B"/>
    <w:rsid w:val="22862773"/>
    <w:rsid w:val="229B0745"/>
    <w:rsid w:val="22CB2F68"/>
    <w:rsid w:val="236C776A"/>
    <w:rsid w:val="23773417"/>
    <w:rsid w:val="238978B8"/>
    <w:rsid w:val="23FC6CC0"/>
    <w:rsid w:val="24271A4F"/>
    <w:rsid w:val="245F1B8A"/>
    <w:rsid w:val="247723C4"/>
    <w:rsid w:val="24AE2A23"/>
    <w:rsid w:val="24D7103C"/>
    <w:rsid w:val="257C1243"/>
    <w:rsid w:val="25822F0F"/>
    <w:rsid w:val="25FC30AC"/>
    <w:rsid w:val="267F3DDF"/>
    <w:rsid w:val="273F1B26"/>
    <w:rsid w:val="27EC1526"/>
    <w:rsid w:val="27F83541"/>
    <w:rsid w:val="284808D6"/>
    <w:rsid w:val="28DB780E"/>
    <w:rsid w:val="290F1503"/>
    <w:rsid w:val="29623346"/>
    <w:rsid w:val="29B86E5F"/>
    <w:rsid w:val="29B92BA0"/>
    <w:rsid w:val="2A221448"/>
    <w:rsid w:val="2A4F0D2F"/>
    <w:rsid w:val="2A64109F"/>
    <w:rsid w:val="2A70470F"/>
    <w:rsid w:val="2A744D35"/>
    <w:rsid w:val="2A7914E0"/>
    <w:rsid w:val="2ACA15B9"/>
    <w:rsid w:val="2AD9517D"/>
    <w:rsid w:val="2AE62CBB"/>
    <w:rsid w:val="2B584142"/>
    <w:rsid w:val="2B8C2C01"/>
    <w:rsid w:val="2BE04C06"/>
    <w:rsid w:val="2D480E91"/>
    <w:rsid w:val="2D483F7B"/>
    <w:rsid w:val="2D6D7296"/>
    <w:rsid w:val="2D933910"/>
    <w:rsid w:val="2DA13B8A"/>
    <w:rsid w:val="2DAB2CA9"/>
    <w:rsid w:val="2DC63BCA"/>
    <w:rsid w:val="2E5C1C58"/>
    <w:rsid w:val="2E7116CB"/>
    <w:rsid w:val="2F376546"/>
    <w:rsid w:val="2F795283"/>
    <w:rsid w:val="2F973CAF"/>
    <w:rsid w:val="2FCD1AA6"/>
    <w:rsid w:val="30A40E11"/>
    <w:rsid w:val="30C03587"/>
    <w:rsid w:val="311C2E3D"/>
    <w:rsid w:val="312E2C35"/>
    <w:rsid w:val="313A1C9A"/>
    <w:rsid w:val="32340BAA"/>
    <w:rsid w:val="324875F5"/>
    <w:rsid w:val="3261190A"/>
    <w:rsid w:val="3290714A"/>
    <w:rsid w:val="32944427"/>
    <w:rsid w:val="329C5FDB"/>
    <w:rsid w:val="32DA4BB7"/>
    <w:rsid w:val="3319324F"/>
    <w:rsid w:val="332110EA"/>
    <w:rsid w:val="33A04688"/>
    <w:rsid w:val="340F5E2D"/>
    <w:rsid w:val="342A34FD"/>
    <w:rsid w:val="3442540A"/>
    <w:rsid w:val="34492E9B"/>
    <w:rsid w:val="34566B7D"/>
    <w:rsid w:val="345F5ED5"/>
    <w:rsid w:val="3465172B"/>
    <w:rsid w:val="3565174D"/>
    <w:rsid w:val="356647F8"/>
    <w:rsid w:val="35A4136E"/>
    <w:rsid w:val="35CD2962"/>
    <w:rsid w:val="36313ABF"/>
    <w:rsid w:val="36A62D58"/>
    <w:rsid w:val="36BE579C"/>
    <w:rsid w:val="36C117C1"/>
    <w:rsid w:val="37296AE6"/>
    <w:rsid w:val="376308B0"/>
    <w:rsid w:val="376B1404"/>
    <w:rsid w:val="379F1BC6"/>
    <w:rsid w:val="38161817"/>
    <w:rsid w:val="386D504A"/>
    <w:rsid w:val="38825841"/>
    <w:rsid w:val="38AC274E"/>
    <w:rsid w:val="39264E69"/>
    <w:rsid w:val="39541DF9"/>
    <w:rsid w:val="39721E43"/>
    <w:rsid w:val="39786784"/>
    <w:rsid w:val="39B8395B"/>
    <w:rsid w:val="39D860D3"/>
    <w:rsid w:val="3A225447"/>
    <w:rsid w:val="3A534AA2"/>
    <w:rsid w:val="3AC3711A"/>
    <w:rsid w:val="3AD825D5"/>
    <w:rsid w:val="3B8B2C90"/>
    <w:rsid w:val="3B9857B9"/>
    <w:rsid w:val="3BA77089"/>
    <w:rsid w:val="3BAA4782"/>
    <w:rsid w:val="3BE66C4D"/>
    <w:rsid w:val="3BFA1CF9"/>
    <w:rsid w:val="3C20592C"/>
    <w:rsid w:val="3CA817D1"/>
    <w:rsid w:val="3CD874FD"/>
    <w:rsid w:val="3E300863"/>
    <w:rsid w:val="3E5C0E13"/>
    <w:rsid w:val="3F0A71D2"/>
    <w:rsid w:val="3F1D539A"/>
    <w:rsid w:val="3F423D3C"/>
    <w:rsid w:val="3FAC205D"/>
    <w:rsid w:val="3FCB4539"/>
    <w:rsid w:val="3FD60F9E"/>
    <w:rsid w:val="4016349A"/>
    <w:rsid w:val="40571883"/>
    <w:rsid w:val="40DC308D"/>
    <w:rsid w:val="40F24B4F"/>
    <w:rsid w:val="413B75F5"/>
    <w:rsid w:val="41AF7D7D"/>
    <w:rsid w:val="41B349C0"/>
    <w:rsid w:val="42085ACF"/>
    <w:rsid w:val="4260240F"/>
    <w:rsid w:val="432E5A72"/>
    <w:rsid w:val="435404E2"/>
    <w:rsid w:val="438A690E"/>
    <w:rsid w:val="43F95874"/>
    <w:rsid w:val="441A2E03"/>
    <w:rsid w:val="44860137"/>
    <w:rsid w:val="44A23BF7"/>
    <w:rsid w:val="455659D2"/>
    <w:rsid w:val="4576357D"/>
    <w:rsid w:val="4590320B"/>
    <w:rsid w:val="462C7C18"/>
    <w:rsid w:val="46AA149C"/>
    <w:rsid w:val="46FA2FBA"/>
    <w:rsid w:val="47B47F8B"/>
    <w:rsid w:val="48005A65"/>
    <w:rsid w:val="48C60AE7"/>
    <w:rsid w:val="491D45D7"/>
    <w:rsid w:val="492B78DB"/>
    <w:rsid w:val="49C209CA"/>
    <w:rsid w:val="49DE0E6A"/>
    <w:rsid w:val="49DE1375"/>
    <w:rsid w:val="4A1D6303"/>
    <w:rsid w:val="4A384BFA"/>
    <w:rsid w:val="4A7353A2"/>
    <w:rsid w:val="4B0203D3"/>
    <w:rsid w:val="4B23298B"/>
    <w:rsid w:val="4C5B65EB"/>
    <w:rsid w:val="4CF94F24"/>
    <w:rsid w:val="4D310CD5"/>
    <w:rsid w:val="4D3658DA"/>
    <w:rsid w:val="4DA049A5"/>
    <w:rsid w:val="4DD133D9"/>
    <w:rsid w:val="4E593383"/>
    <w:rsid w:val="4E996D2E"/>
    <w:rsid w:val="4EB12626"/>
    <w:rsid w:val="4F554770"/>
    <w:rsid w:val="4FCA26DD"/>
    <w:rsid w:val="500458BF"/>
    <w:rsid w:val="501A0DE8"/>
    <w:rsid w:val="504C1967"/>
    <w:rsid w:val="51913A61"/>
    <w:rsid w:val="51EC6406"/>
    <w:rsid w:val="5277263D"/>
    <w:rsid w:val="530B121E"/>
    <w:rsid w:val="53173980"/>
    <w:rsid w:val="5340796A"/>
    <w:rsid w:val="53452F7C"/>
    <w:rsid w:val="53AA60A5"/>
    <w:rsid w:val="540056D6"/>
    <w:rsid w:val="544B494F"/>
    <w:rsid w:val="551A5CD3"/>
    <w:rsid w:val="554C0EE4"/>
    <w:rsid w:val="55563D1E"/>
    <w:rsid w:val="55750FC1"/>
    <w:rsid w:val="559A0E7B"/>
    <w:rsid w:val="55B77FC0"/>
    <w:rsid w:val="55C24137"/>
    <w:rsid w:val="55C82759"/>
    <w:rsid w:val="55D074CB"/>
    <w:rsid w:val="55D57F30"/>
    <w:rsid w:val="55F13999"/>
    <w:rsid w:val="56107A52"/>
    <w:rsid w:val="5637279C"/>
    <w:rsid w:val="57001C91"/>
    <w:rsid w:val="57234A8B"/>
    <w:rsid w:val="57285C61"/>
    <w:rsid w:val="57305A1F"/>
    <w:rsid w:val="57346569"/>
    <w:rsid w:val="574A4195"/>
    <w:rsid w:val="57A807FB"/>
    <w:rsid w:val="5846365E"/>
    <w:rsid w:val="587076FE"/>
    <w:rsid w:val="58780F9F"/>
    <w:rsid w:val="58870EE2"/>
    <w:rsid w:val="5895512D"/>
    <w:rsid w:val="58A974F4"/>
    <w:rsid w:val="58CC2ADA"/>
    <w:rsid w:val="593D03B2"/>
    <w:rsid w:val="59675AFF"/>
    <w:rsid w:val="59A24D9D"/>
    <w:rsid w:val="59C46293"/>
    <w:rsid w:val="5A03618B"/>
    <w:rsid w:val="5A3B3CAB"/>
    <w:rsid w:val="5A815770"/>
    <w:rsid w:val="5AFF19E9"/>
    <w:rsid w:val="5B553D30"/>
    <w:rsid w:val="5B572E04"/>
    <w:rsid w:val="5C004C22"/>
    <w:rsid w:val="5C42240A"/>
    <w:rsid w:val="5CDB760C"/>
    <w:rsid w:val="5CEC4C17"/>
    <w:rsid w:val="5D240C0C"/>
    <w:rsid w:val="5D5138D2"/>
    <w:rsid w:val="5D5C751F"/>
    <w:rsid w:val="5DBE34EC"/>
    <w:rsid w:val="5DEB0CC7"/>
    <w:rsid w:val="5E3818F0"/>
    <w:rsid w:val="5E5A3052"/>
    <w:rsid w:val="5E6065DA"/>
    <w:rsid w:val="5E624AE0"/>
    <w:rsid w:val="5E690B56"/>
    <w:rsid w:val="5ECC686F"/>
    <w:rsid w:val="5EDA18C6"/>
    <w:rsid w:val="5F6F4F5C"/>
    <w:rsid w:val="5F814F2E"/>
    <w:rsid w:val="5FCE3AB4"/>
    <w:rsid w:val="60513889"/>
    <w:rsid w:val="6065411A"/>
    <w:rsid w:val="60CA5806"/>
    <w:rsid w:val="60D74E67"/>
    <w:rsid w:val="61495B97"/>
    <w:rsid w:val="61553E22"/>
    <w:rsid w:val="61866124"/>
    <w:rsid w:val="624C199B"/>
    <w:rsid w:val="628715B9"/>
    <w:rsid w:val="630F1E06"/>
    <w:rsid w:val="633700D6"/>
    <w:rsid w:val="634C1A9F"/>
    <w:rsid w:val="638F09E0"/>
    <w:rsid w:val="63CC5D75"/>
    <w:rsid w:val="6447556B"/>
    <w:rsid w:val="647A0D24"/>
    <w:rsid w:val="64B23E9E"/>
    <w:rsid w:val="64C06CFB"/>
    <w:rsid w:val="65737666"/>
    <w:rsid w:val="659F0D4D"/>
    <w:rsid w:val="65A505D0"/>
    <w:rsid w:val="65BF3743"/>
    <w:rsid w:val="65D1579E"/>
    <w:rsid w:val="65D34D2E"/>
    <w:rsid w:val="65F51870"/>
    <w:rsid w:val="66290868"/>
    <w:rsid w:val="6680107A"/>
    <w:rsid w:val="669169E4"/>
    <w:rsid w:val="67B11761"/>
    <w:rsid w:val="683A039A"/>
    <w:rsid w:val="6877290C"/>
    <w:rsid w:val="68B2070B"/>
    <w:rsid w:val="68C25E8C"/>
    <w:rsid w:val="68F55030"/>
    <w:rsid w:val="69FF5207"/>
    <w:rsid w:val="6A11065F"/>
    <w:rsid w:val="6A224819"/>
    <w:rsid w:val="6A321AE2"/>
    <w:rsid w:val="6A4B00AF"/>
    <w:rsid w:val="6AB43BF9"/>
    <w:rsid w:val="6AC02992"/>
    <w:rsid w:val="6AF23C86"/>
    <w:rsid w:val="6B1C1A82"/>
    <w:rsid w:val="6C2775FE"/>
    <w:rsid w:val="6C665566"/>
    <w:rsid w:val="6C684BC2"/>
    <w:rsid w:val="6C9F0572"/>
    <w:rsid w:val="6CB945B6"/>
    <w:rsid w:val="6CC61A99"/>
    <w:rsid w:val="6CDC2F7C"/>
    <w:rsid w:val="6D53527C"/>
    <w:rsid w:val="6D826B21"/>
    <w:rsid w:val="6D9446B8"/>
    <w:rsid w:val="6E0453A6"/>
    <w:rsid w:val="6E2849C4"/>
    <w:rsid w:val="6E612515"/>
    <w:rsid w:val="6E7A7FC2"/>
    <w:rsid w:val="6E90506F"/>
    <w:rsid w:val="6F9D0F9A"/>
    <w:rsid w:val="6FA70498"/>
    <w:rsid w:val="6FD61F8B"/>
    <w:rsid w:val="70A37EC5"/>
    <w:rsid w:val="70DE2DBB"/>
    <w:rsid w:val="71071159"/>
    <w:rsid w:val="711D5439"/>
    <w:rsid w:val="71F66505"/>
    <w:rsid w:val="7200428D"/>
    <w:rsid w:val="724945C6"/>
    <w:rsid w:val="72A5012D"/>
    <w:rsid w:val="72C86CA6"/>
    <w:rsid w:val="72E734CE"/>
    <w:rsid w:val="72F258F0"/>
    <w:rsid w:val="72F562E9"/>
    <w:rsid w:val="73905B6A"/>
    <w:rsid w:val="74604847"/>
    <w:rsid w:val="7475446F"/>
    <w:rsid w:val="74C51526"/>
    <w:rsid w:val="74D24F4E"/>
    <w:rsid w:val="74FC0D26"/>
    <w:rsid w:val="75407499"/>
    <w:rsid w:val="758539E2"/>
    <w:rsid w:val="76016F1C"/>
    <w:rsid w:val="76122200"/>
    <w:rsid w:val="76783D9F"/>
    <w:rsid w:val="767C4EB2"/>
    <w:rsid w:val="76816784"/>
    <w:rsid w:val="77557024"/>
    <w:rsid w:val="77EC3B92"/>
    <w:rsid w:val="783161CD"/>
    <w:rsid w:val="787E7FF1"/>
    <w:rsid w:val="788910B3"/>
    <w:rsid w:val="788F3C1F"/>
    <w:rsid w:val="78DA7310"/>
    <w:rsid w:val="79200D70"/>
    <w:rsid w:val="79C076DB"/>
    <w:rsid w:val="7A1E6D8E"/>
    <w:rsid w:val="7A9F7069"/>
    <w:rsid w:val="7B1724ED"/>
    <w:rsid w:val="7B1A5B38"/>
    <w:rsid w:val="7BB356D2"/>
    <w:rsid w:val="7BC32EA6"/>
    <w:rsid w:val="7BC8516A"/>
    <w:rsid w:val="7C336E6D"/>
    <w:rsid w:val="7C404BF1"/>
    <w:rsid w:val="7C640EAB"/>
    <w:rsid w:val="7C9963DA"/>
    <w:rsid w:val="7D9403A9"/>
    <w:rsid w:val="7DB96AB3"/>
    <w:rsid w:val="7E67294F"/>
    <w:rsid w:val="7F194FD0"/>
    <w:rsid w:val="7FF145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qFormat="1"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99"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semiHidden="0" w:name="Table Web 2"/>
    <w:lsdException w:uiPriority="0" w:semiHidden="0" w:name="Table Web 3"/>
    <w:lsdException w:qFormat="1" w:unhideWhenUsed="0" w:uiPriority="0" w:semiHidden="0" w:name="Balloon Text"/>
    <w:lsdException w:qFormat="1" w:unhideWhenUsed="0" w:uiPriority="0" w:semiHidden="0" w:name="Table Grid"/>
    <w:lsdException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643" w:firstLineChars="200"/>
      <w:jc w:val="both"/>
    </w:pPr>
    <w:rPr>
      <w:rFonts w:eastAsia="仿宋_GB2312" w:asciiTheme="minorHAnsi" w:hAnsiTheme="minorHAnsi" w:cstheme="minorBidi"/>
      <w:kern w:val="2"/>
      <w:sz w:val="32"/>
      <w:szCs w:val="24"/>
      <w:lang w:val="en-US" w:eastAsia="zh-CN" w:bidi="ar-SA"/>
    </w:rPr>
  </w:style>
  <w:style w:type="paragraph" w:styleId="4">
    <w:name w:val="heading 1"/>
    <w:basedOn w:val="1"/>
    <w:next w:val="1"/>
    <w:qFormat/>
    <w:uiPriority w:val="0"/>
    <w:pPr>
      <w:keepNext/>
      <w:keepLines/>
      <w:jc w:val="left"/>
      <w:outlineLvl w:val="0"/>
    </w:pPr>
    <w:rPr>
      <w:rFonts w:eastAsia="黑体"/>
      <w:bCs/>
      <w:kern w:val="44"/>
      <w:szCs w:val="44"/>
    </w:rPr>
  </w:style>
  <w:style w:type="paragraph" w:styleId="5">
    <w:name w:val="heading 2"/>
    <w:basedOn w:val="1"/>
    <w:next w:val="1"/>
    <w:qFormat/>
    <w:uiPriority w:val="0"/>
    <w:pPr>
      <w:keepNext/>
      <w:keepLines/>
      <w:spacing w:before="60" w:after="60"/>
      <w:ind w:firstLine="546" w:firstLineChars="170"/>
      <w:jc w:val="left"/>
      <w:outlineLvl w:val="1"/>
    </w:pPr>
    <w:rPr>
      <w:rFonts w:ascii="Cambria" w:hAnsi="Cambria" w:cs="黑体"/>
      <w:b/>
      <w:bCs/>
      <w:szCs w:val="32"/>
    </w:rPr>
  </w:style>
  <w:style w:type="paragraph" w:styleId="6">
    <w:name w:val="heading 3"/>
    <w:basedOn w:val="1"/>
    <w:next w:val="1"/>
    <w:unhideWhenUsed/>
    <w:qFormat/>
    <w:uiPriority w:val="0"/>
    <w:pPr>
      <w:keepNext/>
      <w:keepLines/>
      <w:spacing w:before="260" w:after="260" w:line="413" w:lineRule="auto"/>
      <w:outlineLvl w:val="2"/>
    </w:pPr>
    <w:rPr>
      <w:b/>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pPr>
  </w:style>
  <w:style w:type="paragraph" w:styleId="3">
    <w:name w:val="Body Text Indent"/>
    <w:basedOn w:val="1"/>
    <w:unhideWhenUsed/>
    <w:qFormat/>
    <w:uiPriority w:val="99"/>
    <w:pPr>
      <w:spacing w:after="120"/>
      <w:ind w:left="420" w:leftChars="200"/>
    </w:pPr>
  </w:style>
  <w:style w:type="paragraph" w:styleId="7">
    <w:name w:val="toc 7"/>
    <w:basedOn w:val="1"/>
    <w:next w:val="1"/>
    <w:unhideWhenUsed/>
    <w:qFormat/>
    <w:uiPriority w:val="39"/>
    <w:pPr>
      <w:ind w:left="2520" w:leftChars="1200"/>
    </w:pPr>
    <w:rPr>
      <w:szCs w:val="22"/>
    </w:rPr>
  </w:style>
  <w:style w:type="paragraph" w:styleId="8">
    <w:name w:val="annotation text"/>
    <w:basedOn w:val="1"/>
    <w:qFormat/>
    <w:uiPriority w:val="99"/>
    <w:pPr>
      <w:jc w:val="left"/>
    </w:pPr>
    <w:rPr>
      <w:rFonts w:ascii="Calibri" w:hAnsi="Calibri" w:eastAsia="宋体" w:cs="Times New Roman"/>
    </w:rPr>
  </w:style>
  <w:style w:type="paragraph" w:styleId="9">
    <w:name w:val="Body Text"/>
    <w:basedOn w:val="1"/>
    <w:next w:val="1"/>
    <w:qFormat/>
    <w:uiPriority w:val="1"/>
    <w:pPr>
      <w:spacing w:before="121"/>
      <w:ind w:left="120"/>
    </w:pPr>
    <w:rPr>
      <w:rFonts w:ascii="仿宋_GB2312" w:hAnsi="仿宋_GB2312"/>
      <w:szCs w:val="32"/>
    </w:rPr>
  </w:style>
  <w:style w:type="paragraph" w:styleId="10">
    <w:name w:val="toc 5"/>
    <w:basedOn w:val="1"/>
    <w:next w:val="1"/>
    <w:unhideWhenUsed/>
    <w:qFormat/>
    <w:uiPriority w:val="39"/>
    <w:pPr>
      <w:ind w:left="1680" w:leftChars="800"/>
    </w:pPr>
    <w:rPr>
      <w:szCs w:val="22"/>
    </w:rPr>
  </w:style>
  <w:style w:type="paragraph" w:styleId="11">
    <w:name w:val="toc 3"/>
    <w:basedOn w:val="1"/>
    <w:next w:val="1"/>
    <w:qFormat/>
    <w:uiPriority w:val="39"/>
    <w:pPr>
      <w:ind w:left="840" w:leftChars="400"/>
    </w:pPr>
  </w:style>
  <w:style w:type="paragraph" w:styleId="12">
    <w:name w:val="Plain Text"/>
    <w:basedOn w:val="1"/>
    <w:qFormat/>
    <w:uiPriority w:val="99"/>
    <w:pPr>
      <w:spacing w:line="560" w:lineRule="exact"/>
      <w:ind w:firstLine="880"/>
    </w:pPr>
    <w:rPr>
      <w:rFonts w:ascii="宋体" w:hAnsi="Courier New" w:cs="宋体"/>
      <w:szCs w:val="32"/>
    </w:rPr>
  </w:style>
  <w:style w:type="paragraph" w:styleId="13">
    <w:name w:val="toc 8"/>
    <w:basedOn w:val="1"/>
    <w:next w:val="1"/>
    <w:unhideWhenUsed/>
    <w:qFormat/>
    <w:uiPriority w:val="39"/>
    <w:pPr>
      <w:ind w:left="2940" w:leftChars="1400"/>
    </w:pPr>
    <w:rPr>
      <w:szCs w:val="22"/>
    </w:rPr>
  </w:style>
  <w:style w:type="paragraph" w:styleId="14">
    <w:name w:val="Balloon Text"/>
    <w:basedOn w:val="1"/>
    <w:link w:val="40"/>
    <w:qFormat/>
    <w:uiPriority w:val="0"/>
    <w:rPr>
      <w:sz w:val="18"/>
      <w:szCs w:val="18"/>
    </w:rPr>
  </w:style>
  <w:style w:type="paragraph" w:styleId="15">
    <w:name w:val="footer"/>
    <w:basedOn w:val="1"/>
    <w:link w:val="30"/>
    <w:qFormat/>
    <w:uiPriority w:val="99"/>
    <w:pPr>
      <w:tabs>
        <w:tab w:val="center" w:pos="4153"/>
        <w:tab w:val="right" w:pos="8306"/>
      </w:tabs>
      <w:snapToGrid w:val="0"/>
      <w:jc w:val="left"/>
    </w:pPr>
    <w:rPr>
      <w:sz w:val="18"/>
      <w:szCs w:val="18"/>
    </w:rPr>
  </w:style>
  <w:style w:type="paragraph" w:styleId="16">
    <w:name w:val="header"/>
    <w:basedOn w:val="1"/>
    <w:link w:val="31"/>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style>
  <w:style w:type="paragraph" w:styleId="18">
    <w:name w:val="toc 4"/>
    <w:basedOn w:val="1"/>
    <w:next w:val="1"/>
    <w:unhideWhenUsed/>
    <w:qFormat/>
    <w:uiPriority w:val="39"/>
    <w:pPr>
      <w:ind w:left="1260" w:leftChars="600"/>
    </w:pPr>
    <w:rPr>
      <w:szCs w:val="22"/>
    </w:rPr>
  </w:style>
  <w:style w:type="paragraph" w:styleId="19">
    <w:name w:val="toc 6"/>
    <w:basedOn w:val="1"/>
    <w:next w:val="1"/>
    <w:unhideWhenUsed/>
    <w:qFormat/>
    <w:uiPriority w:val="39"/>
    <w:pPr>
      <w:ind w:left="2100" w:leftChars="1000"/>
    </w:pPr>
    <w:rPr>
      <w:szCs w:val="22"/>
    </w:rPr>
  </w:style>
  <w:style w:type="paragraph" w:styleId="20">
    <w:name w:val="toc 2"/>
    <w:basedOn w:val="1"/>
    <w:next w:val="1"/>
    <w:qFormat/>
    <w:uiPriority w:val="39"/>
    <w:pPr>
      <w:ind w:left="420" w:leftChars="200"/>
    </w:pPr>
  </w:style>
  <w:style w:type="paragraph" w:styleId="21">
    <w:name w:val="toc 9"/>
    <w:basedOn w:val="1"/>
    <w:next w:val="1"/>
    <w:unhideWhenUsed/>
    <w:qFormat/>
    <w:uiPriority w:val="39"/>
    <w:pPr>
      <w:ind w:left="3360" w:leftChars="1600"/>
    </w:pPr>
    <w:rPr>
      <w:szCs w:val="22"/>
    </w:rPr>
  </w:style>
  <w:style w:type="paragraph" w:styleId="22">
    <w:name w:val="Normal (Web)"/>
    <w:basedOn w:val="1"/>
    <w:qFormat/>
    <w:uiPriority w:val="0"/>
    <w:pPr>
      <w:spacing w:beforeAutospacing="1" w:afterAutospacing="1"/>
      <w:jc w:val="left"/>
    </w:pPr>
    <w:rPr>
      <w:rFonts w:cs="Times New Roman"/>
      <w:kern w:val="0"/>
      <w:sz w:val="24"/>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basedOn w:val="25"/>
    <w:qFormat/>
    <w:uiPriority w:val="0"/>
    <w:rPr>
      <w:b/>
    </w:rPr>
  </w:style>
  <w:style w:type="character" w:styleId="27">
    <w:name w:val="Hyperlink"/>
    <w:basedOn w:val="25"/>
    <w:qFormat/>
    <w:uiPriority w:val="99"/>
    <w:rPr>
      <w:color w:val="0000FF"/>
      <w:u w:val="single"/>
    </w:rPr>
  </w:style>
  <w:style w:type="character" w:styleId="28">
    <w:name w:val="annotation reference"/>
    <w:qFormat/>
    <w:uiPriority w:val="99"/>
    <w:rPr>
      <w:sz w:val="21"/>
      <w:szCs w:val="21"/>
    </w:rPr>
  </w:style>
  <w:style w:type="paragraph" w:customStyle="1" w:styleId="29">
    <w:name w:val="Default"/>
    <w:qFormat/>
    <w:uiPriority w:val="99"/>
    <w:pPr>
      <w:widowControl w:val="0"/>
      <w:autoSpaceDE w:val="0"/>
      <w:autoSpaceDN w:val="0"/>
      <w:adjustRightInd w:val="0"/>
    </w:pPr>
    <w:rPr>
      <w:rFonts w:ascii="宋体" w:hAnsi="宋体" w:eastAsia="宋体" w:cs="宋体"/>
      <w:color w:val="000000"/>
      <w:sz w:val="24"/>
      <w:szCs w:val="24"/>
      <w:lang w:val="en-US" w:eastAsia="zh-CN" w:bidi="ar-SA"/>
    </w:rPr>
  </w:style>
  <w:style w:type="character" w:customStyle="1" w:styleId="30">
    <w:name w:val="页脚 Char"/>
    <w:basedOn w:val="25"/>
    <w:link w:val="15"/>
    <w:qFormat/>
    <w:uiPriority w:val="99"/>
    <w:rPr>
      <w:rFonts w:asciiTheme="minorHAnsi" w:hAnsiTheme="minorHAnsi" w:eastAsiaTheme="minorEastAsia" w:cstheme="minorBidi"/>
      <w:kern w:val="2"/>
      <w:sz w:val="18"/>
      <w:szCs w:val="18"/>
    </w:rPr>
  </w:style>
  <w:style w:type="character" w:customStyle="1" w:styleId="31">
    <w:name w:val="页眉 Char"/>
    <w:basedOn w:val="25"/>
    <w:link w:val="16"/>
    <w:qFormat/>
    <w:uiPriority w:val="0"/>
    <w:rPr>
      <w:rFonts w:asciiTheme="minorHAnsi" w:hAnsiTheme="minorHAnsi" w:eastAsiaTheme="minorEastAsia" w:cstheme="minorBidi"/>
      <w:kern w:val="2"/>
      <w:sz w:val="18"/>
      <w:szCs w:val="18"/>
    </w:rPr>
  </w:style>
  <w:style w:type="paragraph" w:customStyle="1" w:styleId="32">
    <w:name w:val="BodyText1I"/>
    <w:basedOn w:val="33"/>
    <w:qFormat/>
    <w:uiPriority w:val="0"/>
    <w:pPr>
      <w:ind w:firstLine="420" w:firstLineChars="100"/>
    </w:pPr>
  </w:style>
  <w:style w:type="paragraph" w:customStyle="1" w:styleId="33">
    <w:name w:val="BodyText"/>
    <w:basedOn w:val="1"/>
    <w:qFormat/>
    <w:uiPriority w:val="0"/>
    <w:pPr>
      <w:ind w:left="120"/>
    </w:pPr>
    <w:rPr>
      <w:rFonts w:ascii="宋体" w:hAnsi="宋体"/>
      <w:szCs w:val="32"/>
      <w:lang w:val="zh-CN" w:bidi="zh-CN"/>
    </w:rPr>
  </w:style>
  <w:style w:type="character" w:customStyle="1" w:styleId="34">
    <w:name w:val="NormalCharacter"/>
    <w:semiHidden/>
    <w:qFormat/>
    <w:uiPriority w:val="0"/>
  </w:style>
  <w:style w:type="paragraph" w:customStyle="1" w:styleId="35">
    <w:name w:val="列出段落1"/>
    <w:basedOn w:val="1"/>
    <w:qFormat/>
    <w:uiPriority w:val="34"/>
    <w:pPr>
      <w:ind w:firstLine="420"/>
    </w:pPr>
    <w:rPr>
      <w:rFonts w:ascii="等线" w:hAnsi="等线" w:eastAsia="等线" w:cs="Times New Roman"/>
      <w:szCs w:val="22"/>
    </w:rPr>
  </w:style>
  <w:style w:type="paragraph" w:styleId="36">
    <w:name w:val="List Paragraph"/>
    <w:basedOn w:val="1"/>
    <w:unhideWhenUsed/>
    <w:qFormat/>
    <w:uiPriority w:val="99"/>
    <w:pPr>
      <w:ind w:firstLine="420"/>
    </w:pPr>
  </w:style>
  <w:style w:type="paragraph" w:customStyle="1" w:styleId="37">
    <w:name w:val="WPSOffice手动目录 1"/>
    <w:qFormat/>
    <w:uiPriority w:val="0"/>
    <w:rPr>
      <w:rFonts w:ascii="Times New Roman" w:hAnsi="Times New Roman" w:eastAsia="宋体" w:cs="Times New Roman"/>
      <w:lang w:val="en-US" w:eastAsia="zh-CN" w:bidi="ar-SA"/>
    </w:rPr>
  </w:style>
  <w:style w:type="paragraph" w:customStyle="1" w:styleId="38">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9">
    <w:name w:val="WPSOffice手动目录 3"/>
    <w:qFormat/>
    <w:uiPriority w:val="0"/>
    <w:pPr>
      <w:ind w:left="400" w:leftChars="400"/>
    </w:pPr>
    <w:rPr>
      <w:rFonts w:ascii="Times New Roman" w:hAnsi="Times New Roman" w:eastAsia="宋体" w:cs="Times New Roman"/>
      <w:lang w:val="en-US" w:eastAsia="zh-CN" w:bidi="ar-SA"/>
    </w:rPr>
  </w:style>
  <w:style w:type="character" w:customStyle="1" w:styleId="40">
    <w:name w:val="批注框文本 Char"/>
    <w:basedOn w:val="25"/>
    <w:link w:val="14"/>
    <w:qFormat/>
    <w:uiPriority w:val="0"/>
    <w:rPr>
      <w:rFonts w:asciiTheme="minorHAnsi" w:hAnsiTheme="minorHAnsi" w:eastAsiaTheme="minorEastAsia" w:cstheme="minorBidi"/>
      <w:kern w:val="2"/>
      <w:sz w:val="18"/>
      <w:szCs w:val="18"/>
    </w:rPr>
  </w:style>
  <w:style w:type="paragraph" w:customStyle="1" w:styleId="41">
    <w:name w:val="Other|1"/>
    <w:basedOn w:val="1"/>
    <w:qFormat/>
    <w:uiPriority w:val="0"/>
    <w:pPr>
      <w:spacing w:line="434" w:lineRule="auto"/>
      <w:ind w:firstLine="400"/>
    </w:pPr>
    <w:rPr>
      <w:rFonts w:ascii="宋体" w:hAnsi="宋体" w:eastAsia="宋体" w:cs="宋体"/>
      <w:sz w:val="28"/>
      <w:szCs w:val="28"/>
      <w:lang w:val="zh-TW" w:eastAsia="zh-TW" w:bidi="zh-TW"/>
    </w:rPr>
  </w:style>
  <w:style w:type="table" w:customStyle="1" w:styleId="42">
    <w:name w:val="网格型1"/>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4332CC-F7FD-4C43-8F95-21DED46FA9DE}">
  <ds:schemaRefs/>
</ds:datastoreItem>
</file>

<file path=docProps/app.xml><?xml version="1.0" encoding="utf-8"?>
<Properties xmlns="http://schemas.openxmlformats.org/officeDocument/2006/extended-properties" xmlns:vt="http://schemas.openxmlformats.org/officeDocument/2006/docPropsVTypes">
  <Template>Normal</Template>
  <Pages>100</Pages>
  <Words>7633</Words>
  <Characters>43514</Characters>
  <Lines>362</Lines>
  <Paragraphs>102</Paragraphs>
  <TotalTime>2</TotalTime>
  <ScaleCrop>false</ScaleCrop>
  <LinksUpToDate>false</LinksUpToDate>
  <CharactersWithSpaces>51045</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2020-12-08T06:18:00Z</dcterms:created>
  <dc:creator>夏冰</dc:creator>
  <cp:lastModifiedBy>茗雅轩</cp:lastModifiedBy>
  <cp:lastPrinted>2021-07-15T10:43:00Z</cp:lastPrinted>
  <dcterms:modified xsi:type="dcterms:W3CDTF">2021-11-21T07:40:09Z</dcterms:modified>
  <cp:revision>302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7FDDF1B8ADD146C5860128039C85B395</vt:lpwstr>
  </property>
</Properties>
</file>