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40" w:lineRule="auto"/>
        <w:ind w:left="0" w:leftChars="0" w:right="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《郑州市“十四五”战略性新兴产业相关服务业发展规划（2021-2025</w:t>
      </w:r>
      <w:r>
        <w:rPr>
          <w:rFonts w:hint="eastAsia" w:ascii="宋体" w:hAnsi="宋体" w:eastAsia="宋体" w:cs="宋体"/>
          <w:sz w:val="44"/>
          <w:szCs w:val="44"/>
          <w:lang w:val="en-US" w:eastAsia="zh-CN"/>
        </w:rPr>
        <w:t>年</w:t>
      </w:r>
      <w:r>
        <w:rPr>
          <w:rFonts w:hint="eastAsia" w:ascii="宋体" w:hAnsi="宋体" w:eastAsia="宋体" w:cs="宋体"/>
          <w:sz w:val="44"/>
          <w:szCs w:val="44"/>
          <w:lang w:eastAsia="zh-CN"/>
        </w:rPr>
        <w:t>）（征求意见稿）》的起草说明</w:t>
      </w:r>
    </w:p>
    <w:p>
      <w:pPr>
        <w:rPr>
          <w:rFonts w:ascii="宋体" w:hAnsi="宋体" w:eastAsia="宋体"/>
          <w:sz w:val="36"/>
          <w:szCs w:val="36"/>
        </w:rPr>
      </w:pPr>
    </w:p>
    <w:p>
      <w:pPr>
        <w:ind w:firstLine="640" w:firstLineChars="200"/>
        <w:rPr>
          <w:rFonts w:ascii="黑体" w:hAnsi="黑体" w:eastAsia="黑体"/>
          <w:sz w:val="32"/>
          <w:szCs w:val="32"/>
        </w:rPr>
      </w:pPr>
      <w:r>
        <w:rPr>
          <w:rFonts w:hint="eastAsia" w:ascii="黑体" w:hAnsi="黑体" w:eastAsia="黑体"/>
          <w:sz w:val="32"/>
          <w:szCs w:val="32"/>
        </w:rPr>
        <w:t>一、编制说明</w:t>
      </w:r>
    </w:p>
    <w:p>
      <w:pPr>
        <w:widowControl w:val="0"/>
        <w:wordWrap/>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新兴</w:t>
      </w:r>
      <w:bookmarkStart w:id="7" w:name="_GoBack"/>
      <w:bookmarkEnd w:id="7"/>
      <w:r>
        <w:rPr>
          <w:rFonts w:hint="eastAsia" w:ascii="Times New Roman" w:hAnsi="Times New Roman" w:eastAsia="仿宋_GB2312" w:cs="Times New Roman"/>
          <w:sz w:val="32"/>
          <w:szCs w:val="32"/>
        </w:rPr>
        <w:t>服务业是推动战略性新兴产业高质量发展的重要引擎，是我市实施创新驱动发展战略、促进产业结构优化升级、实现“两化五强”建设目标的重要支撑。加快培育发展战略性新兴产业相关服务业，对于我市抢抓新一轮科技革命和产业变革机遇，加快国家中心城市建设，打造经济社会可持续发展新引擎，努力实现全面建设社会主义现代化强国的新征程目标，具有重要支撑和带动作用。</w:t>
      </w:r>
    </w:p>
    <w:p>
      <w:pPr>
        <w:widowControl w:val="0"/>
        <w:wordWrap/>
        <w:adjustRightInd/>
        <w:snapToGrid/>
        <w:spacing w:line="560" w:lineRule="exact"/>
        <w:ind w:firstLine="640" w:firstLineChars="200"/>
        <w:textAlignment w:val="auto"/>
        <w:rPr>
          <w:rFonts w:ascii="仿宋" w:hAnsi="仿宋" w:eastAsia="仿宋"/>
          <w:sz w:val="32"/>
          <w:szCs w:val="32"/>
        </w:rPr>
      </w:pPr>
      <w:r>
        <w:rPr>
          <w:rFonts w:hint="eastAsia" w:ascii="Times New Roman" w:hAnsi="Times New Roman" w:eastAsia="仿宋_GB2312" w:cs="Times New Roman"/>
          <w:sz w:val="32"/>
          <w:szCs w:val="32"/>
        </w:rPr>
        <w:t>根据市委市政府要求，结合我市实际，形成了《郑州市“十四五”战略性新兴产业相关服务业发展规划（2021-2025年）（征求意见稿）》（以下简称《相关服务业发展规划》）。</w:t>
      </w:r>
    </w:p>
    <w:p>
      <w:pPr>
        <w:ind w:firstLine="640" w:firstLineChars="200"/>
        <w:rPr>
          <w:rFonts w:ascii="黑体" w:hAnsi="黑体" w:eastAsia="黑体"/>
          <w:sz w:val="32"/>
          <w:szCs w:val="32"/>
        </w:rPr>
      </w:pPr>
      <w:r>
        <w:rPr>
          <w:rFonts w:hint="eastAsia" w:ascii="黑体" w:hAnsi="黑体" w:eastAsia="黑体"/>
          <w:sz w:val="32"/>
          <w:szCs w:val="32"/>
        </w:rPr>
        <w:t>二、编制依据</w:t>
      </w:r>
    </w:p>
    <w:p>
      <w:pPr>
        <w:widowControl w:val="0"/>
        <w:wordWrap/>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依据是党中央、国务院关于大力推进战略性新兴产业的有关部署和《中共郑州市委关于制定郑州市国民经济和社会发展第十四个五年规划和二〇三五年远景目标的建议》。</w:t>
      </w:r>
    </w:p>
    <w:p>
      <w:pPr>
        <w:ind w:firstLine="640" w:firstLineChars="200"/>
        <w:rPr>
          <w:rFonts w:ascii="黑体" w:hAnsi="黑体" w:eastAsia="黑体"/>
          <w:sz w:val="32"/>
          <w:szCs w:val="32"/>
        </w:rPr>
      </w:pPr>
      <w:r>
        <w:rPr>
          <w:rFonts w:hint="eastAsia" w:ascii="黑体" w:hAnsi="黑体" w:eastAsia="黑体"/>
          <w:sz w:val="32"/>
          <w:szCs w:val="32"/>
        </w:rPr>
        <w:t>三、主要内容</w:t>
      </w:r>
    </w:p>
    <w:p>
      <w:pPr>
        <w:widowControl w:val="0"/>
        <w:wordWrap/>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《相关服务业发展规划》明确了在“十四五”期间的发展目标，提出了</w:t>
      </w:r>
      <w:r>
        <w:rPr>
          <w:rFonts w:hint="eastAsia" w:ascii="仿宋" w:hAnsi="仿宋" w:eastAsia="仿宋_GB2312" w:cs="宋体"/>
          <w:bCs/>
          <w:color w:val="000000"/>
          <w:kern w:val="0"/>
          <w:sz w:val="32"/>
          <w:szCs w:val="32"/>
        </w:rPr>
        <w:t>创新创业服务、现代金融服务、研发及知识产权服务、检验检测认证服务、标准化服务、航空运营服务等六</w:t>
      </w:r>
      <w:r>
        <w:rPr>
          <w:rFonts w:hint="eastAsia" w:ascii="仿宋_GB2312" w:eastAsia="仿宋_GB2312"/>
          <w:sz w:val="32"/>
          <w:szCs w:val="32"/>
        </w:rPr>
        <w:t>大</w:t>
      </w:r>
      <w:r>
        <w:rPr>
          <w:rFonts w:hint="eastAsia" w:ascii="Times New Roman" w:hAnsi="Times New Roman" w:eastAsia="仿宋_GB2312" w:cs="Times New Roman"/>
          <w:sz w:val="32"/>
          <w:szCs w:val="32"/>
        </w:rPr>
        <w:t>重点发展任务，</w:t>
      </w:r>
      <w:r>
        <w:rPr>
          <w:rFonts w:hint="eastAsia" w:ascii="仿宋" w:hAnsi="仿宋" w:eastAsia="仿宋_GB2312" w:cs="宋体"/>
          <w:bCs/>
          <w:color w:val="000000"/>
          <w:kern w:val="0"/>
          <w:sz w:val="32"/>
          <w:szCs w:val="32"/>
        </w:rPr>
        <w:t>遵循国际化、集群化、规模化、专业化发展方向，实施五大重点工程，大力构建功能完备、结构优化、质量一流、发展均衡、服务高效的现代服务体系，巩固提升服务功能，积极增强信息资源交流和产业创新能力，大力培育现代服务业新业态新模式，</w:t>
      </w:r>
      <w:r>
        <w:rPr>
          <w:rFonts w:hint="eastAsia" w:ascii="Times New Roman" w:hAnsi="Times New Roman" w:eastAsia="仿宋_GB2312" w:cs="Times New Roman"/>
          <w:sz w:val="32"/>
          <w:szCs w:val="32"/>
        </w:rPr>
        <w:t>成为全国重要的战略性新兴产业相关服务业发展策源地和示范区。</w:t>
      </w:r>
    </w:p>
    <w:p>
      <w:pPr>
        <w:widowControl w:val="0"/>
        <w:wordWrap/>
        <w:adjustRightInd/>
        <w:snapToGrid/>
        <w:spacing w:line="560" w:lineRule="exact"/>
        <w:ind w:firstLine="643" w:firstLineChars="200"/>
        <w:textAlignment w:val="auto"/>
        <w:rPr>
          <w:rFonts w:hint="eastAsia" w:ascii="仿宋" w:hAnsi="仿宋" w:eastAsia="仿宋_GB2312" w:cs="宋体"/>
          <w:bCs/>
          <w:color w:val="000000"/>
          <w:kern w:val="0"/>
          <w:sz w:val="32"/>
          <w:szCs w:val="32"/>
        </w:rPr>
      </w:pPr>
      <w:bookmarkStart w:id="0" w:name="_Toc22177"/>
      <w:r>
        <w:rPr>
          <w:rFonts w:hint="eastAsia" w:ascii="仿宋" w:hAnsi="仿宋" w:eastAsia="仿宋_GB2312" w:cs="宋体"/>
          <w:b/>
          <w:bCs w:val="0"/>
          <w:color w:val="000000"/>
          <w:kern w:val="0"/>
          <w:sz w:val="32"/>
          <w:szCs w:val="32"/>
        </w:rPr>
        <w:t>（一）大力推动创新创业服务能力提升</w:t>
      </w:r>
      <w:bookmarkEnd w:id="0"/>
      <w:r>
        <w:rPr>
          <w:rFonts w:hint="eastAsia" w:ascii="仿宋" w:hAnsi="仿宋" w:eastAsia="仿宋_GB2312" w:cs="宋体"/>
          <w:b/>
          <w:bCs w:val="0"/>
          <w:color w:val="000000"/>
          <w:kern w:val="0"/>
          <w:sz w:val="32"/>
          <w:szCs w:val="32"/>
        </w:rPr>
        <w:t>。</w:t>
      </w:r>
      <w:r>
        <w:rPr>
          <w:rFonts w:hint="eastAsia" w:ascii="仿宋" w:hAnsi="仿宋" w:eastAsia="仿宋_GB2312" w:cs="宋体"/>
          <w:bCs/>
          <w:color w:val="000000"/>
          <w:kern w:val="0"/>
          <w:sz w:val="32"/>
          <w:szCs w:val="32"/>
        </w:rPr>
        <w:t>推动双创组织模式和服务模式创新，培育一批具有市场活力的双创支撑平台。大力推动新型孵化器建设，支持各类社会力量和社会资本建设低成本、便利化、全要素的开放式专业化、特色化新型孵化器。加快培育发展双创新业态新模式，鼓励建立“苗圃+孵化器+加速器+产业园”一体化的双创孵化链条，针对不同发展阶段的科研项目和科技实体，提供差异化服务，提升商业运营能力。积极探索基于互联网的新型孵化方式，激发创新创业活力，释放新需求，创造新供给，推动新技术、新产业、新业态蓬勃发展。持续完善双创活动展示机制，通过“展、会、赛、奖、演”五大板块，搭建高校、科研院所产学研交流展示平台。</w:t>
      </w:r>
    </w:p>
    <w:p>
      <w:pPr>
        <w:widowControl w:val="0"/>
        <w:wordWrap/>
        <w:adjustRightInd/>
        <w:snapToGrid/>
        <w:spacing w:line="560" w:lineRule="exact"/>
        <w:ind w:firstLine="643" w:firstLineChars="200"/>
        <w:textAlignment w:val="auto"/>
        <w:rPr>
          <w:rFonts w:hint="eastAsia" w:ascii="仿宋" w:hAnsi="仿宋" w:eastAsia="仿宋_GB2312" w:cs="宋体"/>
          <w:bCs/>
          <w:color w:val="000000"/>
          <w:kern w:val="0"/>
          <w:sz w:val="32"/>
          <w:szCs w:val="32"/>
        </w:rPr>
      </w:pPr>
      <w:bookmarkStart w:id="1" w:name="_Toc24624"/>
      <w:r>
        <w:rPr>
          <w:rFonts w:hint="eastAsia" w:ascii="仿宋" w:hAnsi="仿宋" w:eastAsia="仿宋_GB2312" w:cs="宋体"/>
          <w:b/>
          <w:bCs w:val="0"/>
          <w:color w:val="000000"/>
          <w:kern w:val="0"/>
          <w:sz w:val="32"/>
          <w:szCs w:val="32"/>
        </w:rPr>
        <w:t>（二）持续强化现代金融服务体系建设</w:t>
      </w:r>
      <w:bookmarkEnd w:id="1"/>
      <w:r>
        <w:rPr>
          <w:rFonts w:hint="eastAsia" w:ascii="仿宋" w:hAnsi="仿宋" w:eastAsia="仿宋_GB2312" w:cs="宋体"/>
          <w:b/>
          <w:bCs w:val="0"/>
          <w:color w:val="000000"/>
          <w:kern w:val="0"/>
          <w:sz w:val="32"/>
          <w:szCs w:val="32"/>
        </w:rPr>
        <w:t>。</w:t>
      </w:r>
      <w:r>
        <w:rPr>
          <w:rFonts w:hint="eastAsia" w:ascii="仿宋" w:hAnsi="仿宋" w:eastAsia="仿宋_GB2312" w:cs="宋体"/>
          <w:bCs/>
          <w:color w:val="000000"/>
          <w:kern w:val="0"/>
          <w:sz w:val="32"/>
          <w:szCs w:val="32"/>
        </w:rPr>
        <w:t>以“服务实体经济、防控金融风险、深化金融改革”三大任务为主线，以郑东新区金融集聚核心功能区建设为载体，持续完善金融产业城市空间布局，统筹推进重大战略、重点领域和薄弱环节金融支持，促进金融改革创新，建设与郑州国家中心城市地位相适应的国家区域性现代金融中心。发展壮大地方金融机构，加快构建多层次资本市场和投融资体系，积极拓宽战略性新兴产业的融资渠道。推动地方金融机构深化改革，鼓励金融机构组建战略性新兴产业金融服务专营机构。完善金融配套服务体系，</w:t>
      </w:r>
      <w:r>
        <w:rPr>
          <w:rFonts w:ascii="仿宋" w:hAnsi="仿宋" w:eastAsia="仿宋_GB2312" w:cs="宋体"/>
          <w:bCs/>
          <w:color w:val="000000"/>
          <w:kern w:val="0"/>
          <w:sz w:val="32"/>
          <w:szCs w:val="32"/>
        </w:rPr>
        <w:t>积极引进国内外知名会计、律师、评估、评级等与金融核心业务密切相关的各类中介服务机构，建成全国重要的区域性金融中介服务中心。</w:t>
      </w:r>
    </w:p>
    <w:p>
      <w:pPr>
        <w:widowControl w:val="0"/>
        <w:wordWrap/>
        <w:adjustRightInd/>
        <w:snapToGrid/>
        <w:spacing w:line="560" w:lineRule="exact"/>
        <w:ind w:firstLine="643" w:firstLineChars="200"/>
        <w:textAlignment w:val="auto"/>
        <w:rPr>
          <w:rFonts w:hint="eastAsia" w:ascii="仿宋" w:hAnsi="仿宋" w:eastAsia="仿宋_GB2312" w:cs="宋体"/>
          <w:bCs/>
          <w:color w:val="000000"/>
          <w:kern w:val="0"/>
          <w:sz w:val="32"/>
          <w:szCs w:val="32"/>
        </w:rPr>
      </w:pPr>
      <w:bookmarkStart w:id="2" w:name="_Toc21384"/>
      <w:r>
        <w:rPr>
          <w:rFonts w:hint="eastAsia" w:ascii="仿宋" w:hAnsi="仿宋" w:eastAsia="仿宋_GB2312" w:cs="宋体"/>
          <w:b/>
          <w:bCs w:val="0"/>
          <w:color w:val="000000"/>
          <w:kern w:val="0"/>
          <w:sz w:val="32"/>
          <w:szCs w:val="32"/>
        </w:rPr>
        <w:t>（三）着力打造研发及知识产权服务新高地</w:t>
      </w:r>
      <w:bookmarkEnd w:id="2"/>
      <w:r>
        <w:rPr>
          <w:rFonts w:hint="eastAsia" w:ascii="仿宋" w:hAnsi="仿宋" w:eastAsia="仿宋_GB2312" w:cs="宋体"/>
          <w:b/>
          <w:bCs w:val="0"/>
          <w:color w:val="000000"/>
          <w:kern w:val="0"/>
          <w:sz w:val="32"/>
          <w:szCs w:val="32"/>
        </w:rPr>
        <w:t>。</w:t>
      </w:r>
      <w:r>
        <w:rPr>
          <w:rFonts w:hint="eastAsia" w:ascii="仿宋" w:hAnsi="仿宋" w:eastAsia="仿宋_GB2312" w:cs="宋体"/>
          <w:bCs/>
          <w:color w:val="000000"/>
          <w:kern w:val="0"/>
          <w:sz w:val="32"/>
          <w:szCs w:val="32"/>
        </w:rPr>
        <w:t>抓住黄河流域生态保护和高质量发展战略，以建设国家自主创新示范区为引领，加快建设中原科技城，依托沿黄生态走廊建设沿黄科创带。依托黄河战略谋划建设黄河实验室，加快推进嵩山实验室、神农种业实验室建设，积极打造对接国家战略的科技力量体系。大力推动高水平新型研发机构建设，重点培育一批成长性好、发展速度快的新型研发机构，支持其成长为河南省重大新型研发机构。把握新一轮科技革命与产业变革趋势，前瞻性布局前沿、新兴、交叉、边缘等学科领域探索研究，支撑重大科技突破，培育推动战略性新兴产业创新的关键核心技术与产品。畅通科技成果转化渠道，</w:t>
      </w:r>
      <w:bookmarkStart w:id="3" w:name="_Toc469991577"/>
      <w:r>
        <w:rPr>
          <w:rFonts w:hint="eastAsia" w:ascii="仿宋" w:hAnsi="仿宋" w:eastAsia="仿宋_GB2312" w:cs="宋体"/>
          <w:bCs/>
          <w:color w:val="000000"/>
          <w:kern w:val="0"/>
          <w:sz w:val="32"/>
          <w:szCs w:val="32"/>
        </w:rPr>
        <w:t>招引重大科技成果来郑州产业化。</w:t>
      </w:r>
      <w:bookmarkEnd w:id="3"/>
      <w:r>
        <w:rPr>
          <w:rFonts w:hint="eastAsia" w:ascii="仿宋" w:hAnsi="仿宋" w:eastAsia="仿宋_GB2312" w:cs="宋体"/>
          <w:bCs/>
          <w:color w:val="000000"/>
          <w:kern w:val="0"/>
          <w:sz w:val="32"/>
          <w:szCs w:val="32"/>
        </w:rPr>
        <w:t>大力提升科技服务水平，引入市场化运营主体，提供从原始创新到产业化的全流程服务，形成“微成长、小升高、高变强”的梯次培育机制。</w:t>
      </w:r>
    </w:p>
    <w:p>
      <w:pPr>
        <w:widowControl w:val="0"/>
        <w:wordWrap/>
        <w:adjustRightInd/>
        <w:snapToGrid/>
        <w:spacing w:line="560" w:lineRule="exact"/>
        <w:ind w:firstLine="643" w:firstLineChars="200"/>
        <w:textAlignment w:val="auto"/>
        <w:rPr>
          <w:rFonts w:hint="eastAsia" w:ascii="仿宋" w:hAnsi="仿宋" w:eastAsia="仿宋_GB2312" w:cs="宋体"/>
          <w:bCs/>
          <w:color w:val="000000"/>
          <w:kern w:val="0"/>
          <w:sz w:val="32"/>
          <w:szCs w:val="32"/>
        </w:rPr>
      </w:pPr>
      <w:bookmarkStart w:id="4" w:name="_Toc28259"/>
      <w:r>
        <w:rPr>
          <w:rFonts w:hint="eastAsia" w:eastAsia="仿宋_GB2312"/>
          <w:b/>
          <w:bCs/>
          <w:sz w:val="32"/>
          <w:szCs w:val="32"/>
        </w:rPr>
        <w:t>（四）大力构建检验检测认证服务体系</w:t>
      </w:r>
      <w:bookmarkEnd w:id="4"/>
      <w:r>
        <w:rPr>
          <w:rFonts w:hint="eastAsia" w:eastAsia="仿宋_GB2312"/>
          <w:b/>
          <w:bCs/>
          <w:sz w:val="32"/>
          <w:szCs w:val="32"/>
        </w:rPr>
        <w:t>。</w:t>
      </w:r>
      <w:r>
        <w:rPr>
          <w:rFonts w:eastAsia="仿宋_GB2312"/>
          <w:sz w:val="32"/>
          <w:szCs w:val="32"/>
        </w:rPr>
        <w:t>加快培育一批检验检测、计量校准、技术评价、质量认证等专业公共服务机构，推进检验检测机构市场化运营，加快检测技术、产业形态、商业模式等创新应用，提升面向全过程、全产业链、全生命周期检验检测认证服务能力。</w:t>
      </w:r>
      <w:r>
        <w:rPr>
          <w:rFonts w:hint="eastAsia" w:ascii="仿宋" w:hAnsi="仿宋" w:eastAsia="仿宋_GB2312" w:cs="宋体"/>
          <w:bCs/>
          <w:color w:val="000000"/>
          <w:kern w:val="0"/>
          <w:sz w:val="32"/>
          <w:szCs w:val="32"/>
        </w:rPr>
        <w:t>推动检验检测产业集约化发展，统筹各级质检中心建设，合理规划布局，弥补空白地带，突破薄弱环节。鼓励对检验检测机构进行跨区域、跨行业整合，推进以资产、人员、设备等资源为纽带，建立门类齐全、服务高效、核心竞争力较强的综合检验检测机构。积极推动高端认证，积极对接新一代信息技术、高端装备制造、新材料、生物、新能源汽车、新能源、节能环保、数字创意等产业，组织制定一批代表郑州优势、体现品质质量、引领行业发展的产品、服务认证标准。加强认证执法监管体系建设，推动检验检测认证监管大数据应用平台建设，分析获证企业、获证产品及认证活动的质量状况和动态情况。</w:t>
      </w:r>
    </w:p>
    <w:p>
      <w:pPr>
        <w:widowControl w:val="0"/>
        <w:wordWrap/>
        <w:adjustRightInd/>
        <w:snapToGrid/>
        <w:spacing w:line="560" w:lineRule="exact"/>
        <w:ind w:firstLine="643" w:firstLineChars="200"/>
        <w:textAlignment w:val="auto"/>
        <w:rPr>
          <w:rFonts w:hint="eastAsia"/>
        </w:rPr>
      </w:pPr>
      <w:bookmarkStart w:id="5" w:name="_Toc4187"/>
      <w:r>
        <w:rPr>
          <w:rFonts w:hint="eastAsia" w:ascii="仿宋" w:hAnsi="仿宋" w:eastAsia="仿宋_GB2312" w:cs="宋体"/>
          <w:b/>
          <w:bCs w:val="0"/>
          <w:color w:val="000000"/>
          <w:kern w:val="0"/>
          <w:sz w:val="32"/>
          <w:szCs w:val="32"/>
        </w:rPr>
        <w:t>（五）协同推进标准化服务快速发展</w:t>
      </w:r>
      <w:bookmarkEnd w:id="5"/>
      <w:r>
        <w:rPr>
          <w:rFonts w:hint="eastAsia" w:ascii="仿宋" w:hAnsi="仿宋" w:eastAsia="仿宋_GB2312" w:cs="宋体"/>
          <w:b/>
          <w:bCs w:val="0"/>
          <w:color w:val="000000"/>
          <w:kern w:val="0"/>
          <w:sz w:val="32"/>
          <w:szCs w:val="32"/>
        </w:rPr>
        <w:t>。</w:t>
      </w:r>
      <w:r>
        <w:rPr>
          <w:rFonts w:hint="eastAsia" w:ascii="仿宋" w:hAnsi="仿宋" w:eastAsia="仿宋_GB2312" w:cs="宋体"/>
          <w:bCs/>
          <w:color w:val="000000"/>
          <w:kern w:val="0"/>
          <w:sz w:val="32"/>
          <w:szCs w:val="32"/>
        </w:rPr>
        <w:t>加快构建战略性新兴产业领域的郑州标准体系。推进</w:t>
      </w:r>
      <w:r>
        <w:rPr>
          <w:rFonts w:hint="eastAsia" w:ascii="Times New Roman" w:hAnsi="Times New Roman" w:eastAsia="仿宋_GB2312" w:cs="Times New Roman"/>
          <w:sz w:val="32"/>
          <w:szCs w:val="32"/>
        </w:rPr>
        <w:t>产品</w:t>
      </w:r>
      <w:r>
        <w:rPr>
          <w:rFonts w:hint="eastAsia" w:ascii="仿宋" w:hAnsi="仿宋" w:eastAsia="仿宋_GB2312" w:cs="宋体"/>
          <w:bCs/>
          <w:color w:val="000000"/>
          <w:kern w:val="0"/>
          <w:sz w:val="32"/>
          <w:szCs w:val="32"/>
        </w:rPr>
        <w:t>研发和标准研究同步、产品生产与标准制定同步、检测与标准实施同步。针对重点产业、重点领域、重点产品开展标准研究和创制，建立先进技术标准体系，组织、引导行业龙头企业和科研机构积极参与国内外标准化活动，积极争取更多专业标准化技术委员会落户郑州。围绕“一带一路”、国家中心城市现代化建设、黄河流域生态保护和高质量发展等战略实施，积极参与国际标准、区域标准和地方标准制定。支持企业参与和主导国际标准、国家标准、行业标准的制订修订，促进技术创新、标准研制与产业化协调发展。积极组织实施制造业标准化提升计划，在</w:t>
      </w:r>
      <w:r>
        <w:rPr>
          <w:rFonts w:ascii="仿宋" w:hAnsi="仿宋" w:eastAsia="仿宋_GB2312" w:cs="宋体"/>
          <w:bCs/>
          <w:color w:val="000000"/>
          <w:kern w:val="0"/>
          <w:sz w:val="32"/>
          <w:szCs w:val="32"/>
        </w:rPr>
        <w:t>电子信息、新型材料、生物医药</w:t>
      </w:r>
      <w:r>
        <w:rPr>
          <w:rFonts w:hint="eastAsia" w:ascii="仿宋" w:hAnsi="仿宋" w:eastAsia="仿宋_GB2312" w:cs="宋体"/>
          <w:bCs/>
          <w:color w:val="000000"/>
          <w:kern w:val="0"/>
          <w:sz w:val="32"/>
          <w:szCs w:val="32"/>
        </w:rPr>
        <w:t>等重点领域围绕产业链制定成套技术标准，加速科技研发、标准制定和产业发展一体化进程。</w:t>
      </w:r>
    </w:p>
    <w:p>
      <w:pPr>
        <w:widowControl w:val="0"/>
        <w:wordWrap/>
        <w:adjustRightInd/>
        <w:snapToGrid/>
        <w:spacing w:line="560" w:lineRule="exact"/>
        <w:ind w:firstLine="643" w:firstLineChars="200"/>
        <w:textAlignment w:val="auto"/>
        <w:rPr>
          <w:rFonts w:ascii="仿宋" w:hAnsi="仿宋" w:eastAsia="仿宋_GB2312" w:cs="宋体"/>
          <w:bCs/>
          <w:color w:val="000000"/>
          <w:kern w:val="0"/>
          <w:sz w:val="32"/>
          <w:szCs w:val="32"/>
        </w:rPr>
      </w:pPr>
      <w:bookmarkStart w:id="6" w:name="_Toc8011"/>
      <w:r>
        <w:rPr>
          <w:rFonts w:hint="eastAsia" w:ascii="仿宋" w:hAnsi="仿宋" w:eastAsia="仿宋_GB2312" w:cs="宋体"/>
          <w:b/>
          <w:bCs w:val="0"/>
          <w:color w:val="000000"/>
          <w:kern w:val="0"/>
          <w:sz w:val="32"/>
          <w:szCs w:val="32"/>
        </w:rPr>
        <w:t>（六）全面提升航空运营服务水平</w:t>
      </w:r>
      <w:bookmarkEnd w:id="6"/>
      <w:r>
        <w:rPr>
          <w:rFonts w:hint="eastAsia" w:ascii="仿宋" w:hAnsi="仿宋" w:eastAsia="仿宋_GB2312" w:cs="宋体"/>
          <w:b/>
          <w:bCs w:val="0"/>
          <w:color w:val="000000"/>
          <w:kern w:val="0"/>
          <w:sz w:val="32"/>
          <w:szCs w:val="32"/>
        </w:rPr>
        <w:t>。</w:t>
      </w:r>
      <w:r>
        <w:rPr>
          <w:rFonts w:hint="eastAsia" w:ascii="仿宋" w:hAnsi="仿宋" w:eastAsia="仿宋_GB2312" w:cs="宋体"/>
          <w:bCs/>
          <w:color w:val="000000"/>
          <w:kern w:val="0"/>
          <w:sz w:val="32"/>
          <w:szCs w:val="32"/>
        </w:rPr>
        <w:t>不断完善航空运营支撑能力，大力推进空港型国家物流枢纽建设，完善以货运为主的航空规划建设体系。加强现代物流基础设施建设，提高空侧资源利用效率。优化口岸服务功能，增强在国内外物流体系中的集疏、分拨作用，建设便捷通达的国际物流网络体系。树立平台经济思维，积极搭建与高水平开放相适应的体系化、数字化功能平台和贸易平台，推进产业延伸，把枢纽优势转化为物流、贸易优势，不断完善枢纽经济的产业链、供应链、交易链、服务链。积极引进大型现代化航空物流企业，培育本土龙头航空物流企业。支持航空物流企业引入供应链管理思想，创新发展供应链新理念、新技术、新模式，不断整合集成内外部优质资源，进行体制机制和商业模式创新，向价值链两端拓展和延伸。</w:t>
      </w:r>
    </w:p>
    <w:p>
      <w:pPr>
        <w:widowControl w:val="0"/>
        <w:wordWrap/>
        <w:adjustRightInd/>
        <w:snapToGrid/>
        <w:spacing w:line="560" w:lineRule="exact"/>
        <w:ind w:firstLine="643" w:firstLineChars="200"/>
        <w:textAlignment w:val="auto"/>
        <w:rPr>
          <w:rFonts w:ascii="仿宋" w:hAnsi="仿宋" w:eastAsia="仿宋_GB2312" w:cs="宋体"/>
          <w:bCs/>
          <w:color w:val="000000"/>
          <w:kern w:val="0"/>
          <w:sz w:val="32"/>
          <w:szCs w:val="32"/>
        </w:rPr>
      </w:pPr>
      <w:r>
        <w:rPr>
          <w:rFonts w:hint="eastAsia" w:ascii="仿宋" w:hAnsi="仿宋" w:eastAsia="仿宋_GB2312" w:cs="宋体"/>
          <w:b/>
          <w:bCs w:val="0"/>
          <w:color w:val="000000"/>
          <w:kern w:val="0"/>
          <w:sz w:val="32"/>
          <w:szCs w:val="32"/>
        </w:rPr>
        <w:t>（七）实施五大工程。</w:t>
      </w:r>
      <w:r>
        <w:rPr>
          <w:rFonts w:hint="eastAsia" w:ascii="仿宋" w:hAnsi="仿宋" w:eastAsia="仿宋_GB2312" w:cs="宋体"/>
          <w:bCs/>
          <w:color w:val="000000"/>
          <w:kern w:val="0"/>
          <w:sz w:val="32"/>
          <w:szCs w:val="32"/>
        </w:rPr>
        <w:t>大力实施双创提升工程，推动专业化规模化发展。扎实推进科技金融工程，着力增强产业创新活力。精心组织人才引育工程，助推产业高质量发展。着力推动创新引领工程，加快形成产业发展新动能。加快实施数字赋能工程，培育发展产业新业态新模式。</w:t>
      </w:r>
    </w:p>
    <w:p>
      <w:pPr>
        <w:widowControl w:val="0"/>
        <w:wordWrap/>
        <w:adjustRightInd/>
        <w:snapToGrid/>
        <w:spacing w:line="560" w:lineRule="exact"/>
        <w:ind w:firstLine="643" w:firstLineChars="200"/>
        <w:textAlignment w:val="auto"/>
        <w:rPr>
          <w:rFonts w:ascii="仿宋" w:hAnsi="仿宋" w:eastAsia="仿宋_GB2312" w:cs="宋体"/>
          <w:bCs/>
          <w:color w:val="000000"/>
          <w:kern w:val="0"/>
          <w:sz w:val="32"/>
          <w:szCs w:val="32"/>
        </w:rPr>
      </w:pPr>
      <w:r>
        <w:rPr>
          <w:rFonts w:hint="eastAsia" w:ascii="Times New Roman" w:hAnsi="Times New Roman" w:eastAsia="仿宋_GB2312" w:cs="Times New Roman"/>
          <w:b/>
          <w:bCs/>
          <w:sz w:val="32"/>
          <w:szCs w:val="32"/>
        </w:rPr>
        <w:t>（八）保障措施。</w:t>
      </w:r>
      <w:r>
        <w:rPr>
          <w:rFonts w:hint="eastAsia" w:ascii="Times New Roman" w:hAnsi="Times New Roman" w:eastAsia="仿宋_GB2312" w:cs="Times New Roman"/>
          <w:sz w:val="32"/>
          <w:szCs w:val="32"/>
        </w:rPr>
        <w:t>健全组织保障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统筹推进、协调解决相关服务业发展中的重大问题。强化资金支持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建立稳定增长的科技财政投入机制。</w:t>
      </w:r>
      <w:r>
        <w:rPr>
          <w:rFonts w:hint="eastAsia" w:ascii="Times New Roman" w:hAnsi="Times New Roman" w:eastAsia="仿宋_GB2312" w:cs="Times New Roman"/>
          <w:sz w:val="32"/>
          <w:szCs w:val="32"/>
          <w:lang w:val="en-US" w:eastAsia="zh-CN"/>
        </w:rPr>
        <w:t>深化</w:t>
      </w:r>
      <w:r>
        <w:rPr>
          <w:rFonts w:hint="eastAsia" w:ascii="Times New Roman" w:hAnsi="Times New Roman" w:eastAsia="仿宋_GB2312" w:cs="Times New Roman"/>
          <w:sz w:val="32"/>
          <w:szCs w:val="32"/>
        </w:rPr>
        <w:t>开放合作，推动跨区域创新协同。</w:t>
      </w:r>
      <w:r>
        <w:rPr>
          <w:rFonts w:hint="eastAsia" w:ascii="Times New Roman" w:hAnsi="Times New Roman" w:eastAsia="仿宋_GB2312" w:cs="Times New Roman"/>
          <w:sz w:val="32"/>
          <w:szCs w:val="32"/>
          <w:lang w:val="en-US" w:eastAsia="zh-CN"/>
        </w:rPr>
        <w:t>完善</w:t>
      </w:r>
      <w:r>
        <w:rPr>
          <w:rFonts w:hint="eastAsia" w:ascii="Times New Roman" w:hAnsi="Times New Roman" w:eastAsia="仿宋_GB2312" w:cs="Times New Roman"/>
          <w:sz w:val="32"/>
          <w:szCs w:val="32"/>
        </w:rPr>
        <w:t>评估制度</w:t>
      </w:r>
      <w:r>
        <w:rPr>
          <w:rFonts w:hint="eastAsia" w:ascii="仿宋" w:hAnsi="仿宋" w:eastAsia="仿宋_GB2312" w:cs="宋体"/>
          <w:bCs/>
          <w:color w:val="000000"/>
          <w:kern w:val="0"/>
          <w:sz w:val="32"/>
          <w:szCs w:val="32"/>
        </w:rPr>
        <w:t>，加强对相关服务业重点领域发展态势的监测、预测和分析。</w:t>
      </w:r>
    </w:p>
    <w:p>
      <w:pPr>
        <w:widowControl w:val="0"/>
        <w:wordWrap/>
        <w:adjustRightInd/>
        <w:snapToGrid/>
        <w:spacing w:line="560" w:lineRule="exact"/>
        <w:ind w:firstLine="640" w:firstLineChars="200"/>
        <w:textAlignment w:val="auto"/>
        <w:rPr>
          <w:rFonts w:ascii="Times New Roman" w:hAnsi="Times New Roman" w:eastAsia="仿宋_GB2312" w:cs="Times New Roman"/>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等线" w:hAnsi="等线" w:eastAsia="等线"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2"/>
    <w:basedOn w:val="1"/>
    <w:next w:val="1"/>
    <w:link w:val="11"/>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7">
    <w:name w:val="Default Paragraph Font"/>
    <w:semiHidden/>
    <w:unhideWhenUsed/>
    <w:qFormat/>
    <w:uiPriority w:val="1"/>
  </w:style>
  <w:style w:type="paragraph" w:customStyle="1" w:styleId="2">
    <w:name w:val="正文缩进1"/>
    <w:basedOn w:val="1"/>
    <w:qFormat/>
    <w:uiPriority w:val="0"/>
    <w:pPr>
      <w:ind w:firstLine="420"/>
    </w:pPr>
    <w:rPr>
      <w:rFonts w:eastAsia="华文仿宋"/>
    </w:rPr>
  </w:style>
  <w:style w:type="paragraph" w:styleId="4">
    <w:name w:val="annotation text"/>
    <w:basedOn w:val="1"/>
    <w:link w:val="12"/>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页眉 Char Char"/>
    <w:basedOn w:val="7"/>
    <w:link w:val="6"/>
    <w:uiPriority w:val="99"/>
    <w:rPr>
      <w:sz w:val="18"/>
      <w:szCs w:val="18"/>
    </w:rPr>
  </w:style>
  <w:style w:type="character" w:customStyle="1" w:styleId="10">
    <w:name w:val="页脚 Char Char"/>
    <w:basedOn w:val="7"/>
    <w:link w:val="5"/>
    <w:uiPriority w:val="99"/>
    <w:rPr>
      <w:sz w:val="18"/>
      <w:szCs w:val="18"/>
    </w:rPr>
  </w:style>
  <w:style w:type="character" w:customStyle="1" w:styleId="11">
    <w:name w:val="标题 2 Char Char"/>
    <w:basedOn w:val="7"/>
    <w:link w:val="3"/>
    <w:uiPriority w:val="9"/>
    <w:rPr>
      <w:rFonts w:ascii="等线 Light" w:hAnsi="等线 Light" w:eastAsia="等线 Light" w:cs="黑体"/>
      <w:b/>
      <w:bCs/>
      <w:kern w:val="2"/>
      <w:sz w:val="32"/>
      <w:szCs w:val="32"/>
    </w:rPr>
  </w:style>
  <w:style w:type="character" w:customStyle="1" w:styleId="12">
    <w:name w:val="批注文字 Char Char"/>
    <w:basedOn w:val="7"/>
    <w:link w:val="4"/>
    <w:uiPriority w:val="99"/>
    <w:rPr>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462</Words>
  <Characters>2636</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2021-07-12T02:48:00Z</dcterms:created>
  <dc:creator>lf</dc:creator>
  <cp:lastModifiedBy>Administrator</cp:lastModifiedBy>
  <dcterms:modified xsi:type="dcterms:W3CDTF">2021-11-22T02:36:41Z</dcterms:modified>
  <dc:title>《郑州市“十四五”战略性新兴产业相关服务业发展规划（2021-2025年）（征求意见稿）》的起草说明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D228C93AF43F4C81A50DB3E17991B37A</vt:lpwstr>
  </property>
</Properties>
</file>