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郑州市废旧物资循环利用体系建设实施方案</w:t>
      </w:r>
      <w:r>
        <w:rPr>
          <w:rFonts w:hint="eastAsia" w:ascii="宋体" w:hAnsi="宋体" w:eastAsia="宋体" w:cs="宋体"/>
          <w:b/>
          <w:bCs/>
          <w:kern w:val="32"/>
          <w:sz w:val="44"/>
          <w:szCs w:val="20"/>
          <w:lang w:val="en-US" w:eastAsia="zh-CN"/>
        </w:rPr>
        <w:t>（</w:t>
      </w:r>
      <w:r>
        <w:rPr>
          <w:rFonts w:hint="default" w:ascii="宋体" w:hAnsi="宋体" w:eastAsia="宋体" w:cs="宋体"/>
          <w:b/>
          <w:bCs/>
          <w:kern w:val="32"/>
          <w:sz w:val="44"/>
          <w:szCs w:val="20"/>
          <w:lang w:eastAsia="zh-CN"/>
        </w:rPr>
        <w:t>征求意见</w:t>
      </w:r>
      <w:r>
        <w:rPr>
          <w:rFonts w:hint="eastAsia" w:ascii="宋体" w:hAnsi="宋体" w:eastAsia="宋体" w:cs="宋体"/>
          <w:b/>
          <w:bCs/>
          <w:kern w:val="32"/>
          <w:sz w:val="44"/>
          <w:szCs w:val="20"/>
          <w:lang w:val="en-US" w:eastAsia="zh-CN"/>
        </w:rPr>
        <w:t>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的起草说明</w:t>
      </w:r>
      <w:bookmarkStart w:id="0" w:name="_GoBack"/>
      <w:bookmarkEnd w:id="0"/>
    </w:p>
    <w:p>
      <w:pPr>
        <w:spacing w:line="580" w:lineRule="exact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highlight w:val="none"/>
        </w:rPr>
        <w:t>为贯彻落实国家发展改革委等7部委《关于加快废旧物资循环利用体系建设的指导意见》（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发改环资﹝2022﹞109号</w:t>
      </w:r>
      <w:r>
        <w:rPr>
          <w:rFonts w:hint="default" w:eastAsia="仿宋_GB2312" w:cs="Times New Roman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和《关于印发废旧物资循环利用体系建设重点城市名单的通知》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（发改办环资〔2022〕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649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号）</w:t>
      </w:r>
      <w:r>
        <w:rPr>
          <w:rFonts w:hint="default" w:eastAsia="仿宋_GB2312" w:cs="Times New Roman"/>
          <w:sz w:val="32"/>
          <w:szCs w:val="32"/>
          <w:highlight w:val="none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进一步完善我市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废旧物资循环利用体系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全面提高社会资源利用效率，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val="en-US" w:eastAsia="zh-CN" w:bidi="ar"/>
        </w:rPr>
        <w:t>环资处牵头起草了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《郑州市废旧物资循环利用体系建设实施方案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2022-2025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val="en-US" w:eastAsia="zh-CN" w:bidi="ar"/>
        </w:rPr>
        <w:t>（以下简称《</w:t>
      </w:r>
      <w:r>
        <w:rPr>
          <w:rFonts w:hint="default" w:ascii="仿宋_GB2312" w:hAnsi="仿宋_GB2312" w:eastAsia="仿宋_GB2312" w:cs="仿宋_GB2312"/>
          <w:i w:val="0"/>
          <w:caps w:val="0"/>
          <w:spacing w:val="0"/>
          <w:kern w:val="2"/>
          <w:sz w:val="32"/>
          <w:szCs w:val="32"/>
          <w:shd w:val="clear"/>
          <w:lang w:eastAsia="zh-CN" w:bidi="ar"/>
        </w:rPr>
        <w:t>实施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val="en-US" w:eastAsia="zh-CN" w:bidi="ar"/>
        </w:rPr>
        <w:t>方案》），现将有关情况</w:t>
      </w:r>
      <w:r>
        <w:rPr>
          <w:rFonts w:hint="default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eastAsia="zh-CN" w:bidi="ar"/>
        </w:rPr>
        <w:t>说明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kern w:val="2"/>
          <w:sz w:val="32"/>
          <w:szCs w:val="32"/>
          <w:shd w:val="clear" w:fill="auto"/>
          <w:lang w:val="en-US" w:eastAsia="zh-CN" w:bidi="ar"/>
        </w:rPr>
        <w:t>如下：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一、编制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背景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贯彻国家“十四五”规划《纲要》及《“十四五”循环经济发展规划》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有关部署，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国家发展改革委等7部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《关于加快废旧物资循环利用体系建设的指导意见》（发改环资﹝2022﹞109号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）和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《关于组织开展废旧物资循环利用体系示范城市建设的通知》（发改办环资〔2022〕35号）等文件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要求，经报市政府同意，我委会同相关部门积极开展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废旧物资循环利用体系</w:t>
      </w:r>
      <w:r>
        <w:rPr>
          <w:rFonts w:hint="default" w:ascii="仿宋_GB2312" w:hAnsi="仿宋_GB2312" w:eastAsia="仿宋_GB2312" w:cs="仿宋_GB2312"/>
          <w:sz w:val="32"/>
          <w:szCs w:val="32"/>
        </w:rPr>
        <w:t>建设示范城市申报工作。2022年7月国家发展改革委等7部委办公厅联合印发《关于印发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废旧物资循环利用体系建设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重点城市名单的通知</w:t>
      </w:r>
      <w:r>
        <w:rPr>
          <w:rFonts w:hint="default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（发改办环资〔2022〕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649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，我市被正式列为全国60个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废旧物资循环利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用体系建设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重点城市之一。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二、编制过程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根据国家部委通知要求和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市政府工作安排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市发展改革委会同相关部门，在深入调研的基础上，研究起草了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实施方案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，先后三次征求了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各区县（市）及市直有关部门意见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，并组织召开了专家评审会，经充分吸纳各方面意见建议，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形成了</w:t>
      </w:r>
      <w:r>
        <w:rPr>
          <w:rFonts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lang w:val="en-US" w:eastAsia="zh-CN" w:bidi="ar"/>
        </w:rPr>
        <w:t>《</w:t>
      </w:r>
      <w:r>
        <w:rPr>
          <w:rFonts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lang w:eastAsia="zh-CN" w:bidi="ar"/>
        </w:rPr>
        <w:t>实施</w:t>
      </w:r>
      <w:r>
        <w:rPr>
          <w:rFonts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lang w:val="en-US" w:eastAsia="zh-CN" w:bidi="ar"/>
        </w:rPr>
        <w:t>方案》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征求意见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稿</w:t>
      </w:r>
      <w:r>
        <w:rPr>
          <w:rFonts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《实施方案》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主要内容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《实施方案》由指导思想、工作原则、主要目标、重点任务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保障措施等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部分组成。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（一）指导思想：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明确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以习近平新时代中国特色社会主义思想为指导，全面贯彻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落实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党的二十大精神，积极落实省委、省政府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关于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绿色低碳转型战略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部署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，全面提高社会资源利用效率，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着力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打造黄河流域重点区域的废旧物资循环利用典范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（二）工作原则：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政府引导、市场主导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，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规范回收、高效利用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，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创新驱动、分类指导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eastAsia="zh-CN" w:bidi="ar-SA"/>
        </w:rPr>
        <w:t>，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培育龙头、链式发展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 w:bidi="ar-SA"/>
        </w:rPr>
        <w:t>四项工作原则。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（三）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主要目标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提出了到2025年我市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废旧物资循环利用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体系建设总体目标，制定了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废旧物资回收网络、再生资源加工利用水平、再制造产业发展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废旧物资循环利用政策体系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4个方面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共14项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具体指标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（四）重点任务：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完善废旧物资回收体系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促进废旧物资再生利用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规范废旧物资行业管理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等3个方面提出了13条重点任务。其中：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完善废旧物资回收体系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合理布局废旧物资回收站点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推进废旧物资分拣中心建设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推进再生资源交易市场建设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提升废旧物资回收行业信息化水平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等4项重点任务。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促进废旧物资再生利用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推动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</w:rPr>
        <w:t>再生资源产业集聚发展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提高再生资源加工利用水平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加强龙头企业培育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促进二手商品循环利用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bidi="ar-SA"/>
        </w:rPr>
        <w:t>发展再制造产业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等5项重点任务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bidi="ar-SA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规范废旧物资行业管理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提出了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</w:rPr>
        <w:t>规范回收运营管理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</w:rPr>
        <w:t>规范再生资源加工利用企业管理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健全行业数据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eastAsia="zh-CN"/>
        </w:rPr>
        <w:t>统计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制度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强化专业人才队伍培养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等4项重点任务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（五）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保障措施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从加强组织管理、确保项目实施、加大财税金融支持力度、开展宣传引导等4个方面提出保障措施。</w:t>
      </w:r>
    </w:p>
    <w:p>
      <w:pPr>
        <w:numPr>
          <w:ilvl w:val="-1"/>
          <w:numId w:val="0"/>
        </w:numPr>
        <w:spacing w:line="580" w:lineRule="exact"/>
        <w:ind w:firstLine="420" w:firstLineChars="200"/>
        <w:outlineLvl w:val="9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B67761-1D2C-4401-93D3-243A9D8608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F944FAD-8E67-4E92-99A3-637FA262239F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07F0543-370E-4CF9-ABEA-5380003E49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D4D40E-4595-41EC-ABEA-5E9433B565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51542E7-7DB7-468F-A348-CB34C4623B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YzMyYzZkNmM3MTg0NTg5ODBhMzE2MDkxODkwOTQifQ=="/>
  </w:docVars>
  <w:rsids>
    <w:rsidRoot w:val="74445ECA"/>
    <w:rsid w:val="09536B2F"/>
    <w:rsid w:val="0E4F61A5"/>
    <w:rsid w:val="0FB573D4"/>
    <w:rsid w:val="10A87B1C"/>
    <w:rsid w:val="12FECDE4"/>
    <w:rsid w:val="15DC24DE"/>
    <w:rsid w:val="2018456A"/>
    <w:rsid w:val="2752AAC8"/>
    <w:rsid w:val="2C085851"/>
    <w:rsid w:val="2FF99EF6"/>
    <w:rsid w:val="31477DA6"/>
    <w:rsid w:val="3648544D"/>
    <w:rsid w:val="3EE7AFB7"/>
    <w:rsid w:val="3EFF4349"/>
    <w:rsid w:val="45C979CD"/>
    <w:rsid w:val="45FDB48C"/>
    <w:rsid w:val="477DE547"/>
    <w:rsid w:val="4EBE6303"/>
    <w:rsid w:val="529B1953"/>
    <w:rsid w:val="54D5DDF1"/>
    <w:rsid w:val="55EBA1ED"/>
    <w:rsid w:val="590856C5"/>
    <w:rsid w:val="59DD1F18"/>
    <w:rsid w:val="5A8C2FED"/>
    <w:rsid w:val="65BBFD61"/>
    <w:rsid w:val="74445ECA"/>
    <w:rsid w:val="759FA648"/>
    <w:rsid w:val="773504DF"/>
    <w:rsid w:val="77DFE18E"/>
    <w:rsid w:val="79A52D2D"/>
    <w:rsid w:val="7F6F3BA6"/>
    <w:rsid w:val="7FED227C"/>
    <w:rsid w:val="7FFEB081"/>
    <w:rsid w:val="93DF32B8"/>
    <w:rsid w:val="9FCFACC1"/>
    <w:rsid w:val="9FF4092D"/>
    <w:rsid w:val="AEFFBAC8"/>
    <w:rsid w:val="B3EDE22A"/>
    <w:rsid w:val="B7FAB5AE"/>
    <w:rsid w:val="BCF1EAE4"/>
    <w:rsid w:val="BF7DF47A"/>
    <w:rsid w:val="CFBFEF5C"/>
    <w:rsid w:val="DBBF2DDD"/>
    <w:rsid w:val="DBFFE92B"/>
    <w:rsid w:val="EB776EFF"/>
    <w:rsid w:val="FFE54713"/>
    <w:rsid w:val="FFF910CA"/>
    <w:rsid w:val="FFFFA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ind w:firstLine="200" w:firstLineChars="200"/>
      <w:outlineLvl w:val="0"/>
    </w:pPr>
    <w:rPr>
      <w:rFonts w:eastAsia="黑体"/>
      <w:b/>
      <w:bCs/>
      <w:kern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="等线 Light" w:hAnsi="等线 Light" w:eastAsia="楷体_GB2312" w:cs="Times New Roman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1"/>
    <w:pPr>
      <w:ind w:left="115"/>
    </w:pPr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7">
    <w:name w:val="index heading"/>
    <w:basedOn w:val="1"/>
    <w:next w:val="8"/>
    <w:qFormat/>
    <w:uiPriority w:val="0"/>
    <w:rPr>
      <w:rFonts w:ascii="Arial" w:hAnsi="Arial" w:cs="Arial"/>
      <w:b/>
      <w:bCs/>
      <w:sz w:val="21"/>
      <w:szCs w:val="24"/>
    </w:rPr>
  </w:style>
  <w:style w:type="paragraph" w:styleId="8">
    <w:name w:val="index 1"/>
    <w:next w:val="1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楷体_GB2312" w:hAnsi="Times New Roman" w:eastAsia="楷体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1239</Words>
  <Characters>1280</Characters>
  <Lines>0</Lines>
  <Paragraphs>0</Paragraphs>
  <TotalTime>4</TotalTime>
  <ScaleCrop>false</ScaleCrop>
  <LinksUpToDate>false</LinksUpToDate>
  <CharactersWithSpaces>1280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2022-09-11T00:27:00Z</dcterms:created>
  <dc:creator>N</dc:creator>
  <cp:lastModifiedBy>雪一刀</cp:lastModifiedBy>
  <cp:lastPrinted>2023-04-08T14:14:00Z</cp:lastPrinted>
  <dcterms:modified xsi:type="dcterms:W3CDTF">2023-04-11T03:33:45Z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EB22D98E0DBF47C6A2D5E36D4926888F</vt:lpwstr>
  </property>
</Properties>
</file>