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_GBK" w:hAnsi="仿宋" w:eastAsia="方正小标宋_GBK" w:cs="宋体"/>
          <w:b/>
          <w:color w:val="000000"/>
          <w:kern w:val="0"/>
          <w:sz w:val="28"/>
          <w:szCs w:val="28"/>
        </w:rPr>
      </w:pPr>
      <w:bookmarkStart w:id="59" w:name="_GoBack"/>
    </w:p>
    <w:p>
      <w:pPr>
        <w:autoSpaceDE w:val="0"/>
        <w:autoSpaceDN w:val="0"/>
        <w:spacing w:before="44" w:line="292" w:lineRule="auto"/>
        <w:ind w:left="507" w:right="876"/>
        <w:jc w:val="center"/>
        <w:rPr>
          <w:rFonts w:hint="eastAsia" w:ascii="宋体" w:hAnsi="宋体" w:cs="仿宋"/>
          <w:kern w:val="0"/>
          <w:sz w:val="44"/>
          <w:szCs w:val="44"/>
        </w:rPr>
      </w:pPr>
      <w:r>
        <w:rPr>
          <w:rFonts w:hint="eastAsia" w:ascii="宋体" w:hAnsi="宋体" w:cs="仿宋"/>
          <w:kern w:val="0"/>
          <w:sz w:val="44"/>
          <w:szCs w:val="44"/>
        </w:rPr>
        <w:t xml:space="preserve"> </w:t>
      </w:r>
    </w:p>
    <w:p>
      <w:pPr>
        <w:autoSpaceDE w:val="0"/>
        <w:autoSpaceDN w:val="0"/>
        <w:spacing w:before="44" w:line="292" w:lineRule="auto"/>
        <w:ind w:left="507" w:right="876"/>
        <w:jc w:val="center"/>
        <w:rPr>
          <w:rFonts w:ascii="宋体" w:hAnsi="宋体" w:cs="仿宋"/>
          <w:kern w:val="0"/>
          <w:sz w:val="44"/>
          <w:szCs w:val="44"/>
        </w:rPr>
      </w:pPr>
      <w:r>
        <w:rPr>
          <w:rFonts w:hint="eastAsia" w:ascii="宋体" w:hAnsi="宋体" w:cs="仿宋"/>
          <w:kern w:val="0"/>
          <w:sz w:val="44"/>
          <w:szCs w:val="44"/>
        </w:rPr>
        <w:t xml:space="preserve"> </w:t>
      </w:r>
    </w:p>
    <w:p/>
    <w:p>
      <w:pPr>
        <w:pStyle w:val="14"/>
        <w:spacing w:line="560" w:lineRule="exact"/>
        <w:rPr>
          <w:rFonts w:hint="eastAsia" w:ascii="宋体" w:hAnsi="宋体" w:eastAsia="宋体" w:cs="宋体"/>
          <w:color w:val="auto"/>
          <w:sz w:val="48"/>
          <w:szCs w:val="48"/>
        </w:rPr>
      </w:pPr>
      <w:bookmarkStart w:id="0" w:name="_Toc31485"/>
      <w:bookmarkStart w:id="1" w:name="_Toc84925699"/>
      <w:bookmarkStart w:id="2" w:name="_Toc85730094"/>
      <w:bookmarkStart w:id="3" w:name="_Toc86247956"/>
      <w:bookmarkStart w:id="4" w:name="_Toc7933"/>
      <w:bookmarkStart w:id="5" w:name="_Toc12299"/>
      <w:bookmarkStart w:id="6" w:name="_Toc28560"/>
      <w:bookmarkStart w:id="7" w:name="_Toc7814"/>
      <w:r>
        <w:rPr>
          <w:rFonts w:hint="eastAsia" w:ascii="宋体" w:hAnsi="宋体" w:eastAsia="宋体" w:cs="宋体"/>
          <w:color w:val="auto"/>
          <w:sz w:val="48"/>
          <w:szCs w:val="48"/>
        </w:rPr>
        <w:t>郑州市“十四五”</w:t>
      </w:r>
      <w:bookmarkEnd w:id="0"/>
      <w:r>
        <w:rPr>
          <w:rFonts w:hint="eastAsia" w:ascii="宋体" w:hAnsi="宋体" w:eastAsia="宋体" w:cs="宋体"/>
          <w:color w:val="auto"/>
          <w:sz w:val="48"/>
          <w:szCs w:val="48"/>
        </w:rPr>
        <w:t>战略性新兴产业</w:t>
      </w:r>
      <w:bookmarkEnd w:id="1"/>
      <w:bookmarkEnd w:id="2"/>
      <w:bookmarkEnd w:id="3"/>
      <w:bookmarkEnd w:id="4"/>
      <w:bookmarkEnd w:id="5"/>
      <w:bookmarkEnd w:id="6"/>
      <w:bookmarkEnd w:id="7"/>
    </w:p>
    <w:p>
      <w:pPr>
        <w:pStyle w:val="14"/>
        <w:spacing w:line="560" w:lineRule="exact"/>
        <w:rPr>
          <w:rFonts w:hint="eastAsia" w:ascii="宋体" w:hAnsi="宋体" w:eastAsia="宋体" w:cs="宋体"/>
          <w:color w:val="auto"/>
          <w:sz w:val="48"/>
          <w:szCs w:val="48"/>
        </w:rPr>
      </w:pPr>
      <w:bookmarkStart w:id="8" w:name="_Toc86247957"/>
      <w:bookmarkStart w:id="9" w:name="_Toc6181"/>
      <w:bookmarkStart w:id="10" w:name="_Toc6884"/>
      <w:bookmarkStart w:id="11" w:name="_Toc85730095"/>
      <w:bookmarkStart w:id="12" w:name="_Toc28080"/>
      <w:bookmarkStart w:id="13" w:name="_Toc17498"/>
      <w:bookmarkStart w:id="14" w:name="_Toc84925700"/>
      <w:r>
        <w:rPr>
          <w:rFonts w:hint="eastAsia" w:ascii="宋体" w:hAnsi="宋体" w:eastAsia="宋体" w:cs="宋体"/>
          <w:color w:val="auto"/>
          <w:sz w:val="48"/>
          <w:szCs w:val="48"/>
        </w:rPr>
        <w:t>相关服务业</w:t>
      </w:r>
      <w:bookmarkStart w:id="15" w:name="_Toc28155"/>
      <w:r>
        <w:rPr>
          <w:rFonts w:hint="eastAsia" w:ascii="宋体" w:hAnsi="宋体" w:eastAsia="宋体" w:cs="宋体"/>
          <w:color w:val="auto"/>
          <w:sz w:val="48"/>
          <w:szCs w:val="48"/>
        </w:rPr>
        <w:t>发展规划</w:t>
      </w:r>
      <w:bookmarkEnd w:id="8"/>
      <w:bookmarkEnd w:id="9"/>
      <w:bookmarkEnd w:id="10"/>
      <w:bookmarkEnd w:id="11"/>
      <w:bookmarkEnd w:id="12"/>
      <w:bookmarkEnd w:id="13"/>
      <w:bookmarkEnd w:id="14"/>
      <w:bookmarkEnd w:id="15"/>
    </w:p>
    <w:p>
      <w:pPr>
        <w:pStyle w:val="14"/>
        <w:spacing w:line="560" w:lineRule="exact"/>
        <w:rPr>
          <w:rFonts w:hint="eastAsia" w:ascii="宋体" w:hAnsi="宋体" w:eastAsia="宋体" w:cs="宋体"/>
          <w:color w:val="auto"/>
          <w:sz w:val="48"/>
          <w:szCs w:val="48"/>
        </w:rPr>
      </w:pPr>
      <w:bookmarkStart w:id="16" w:name="_Toc16439"/>
      <w:bookmarkStart w:id="17" w:name="_Toc86247958"/>
      <w:bookmarkStart w:id="18" w:name="_Toc84925701"/>
      <w:bookmarkStart w:id="19" w:name="_Toc85730096"/>
      <w:bookmarkStart w:id="20" w:name="_Toc4330"/>
      <w:bookmarkStart w:id="21" w:name="_Toc30707"/>
      <w:bookmarkStart w:id="22" w:name="_Toc5029"/>
      <w:bookmarkStart w:id="23" w:name="_Toc3206"/>
      <w:r>
        <w:rPr>
          <w:rFonts w:hint="eastAsia" w:ascii="宋体" w:hAnsi="宋体" w:eastAsia="宋体" w:cs="宋体"/>
          <w:color w:val="auto"/>
          <w:sz w:val="48"/>
          <w:szCs w:val="48"/>
        </w:rPr>
        <w:t>（2021-2025年）</w:t>
      </w:r>
      <w:bookmarkEnd w:id="16"/>
      <w:bookmarkEnd w:id="17"/>
      <w:bookmarkEnd w:id="18"/>
      <w:bookmarkEnd w:id="19"/>
      <w:bookmarkEnd w:id="20"/>
      <w:bookmarkEnd w:id="21"/>
      <w:bookmarkEnd w:id="22"/>
      <w:bookmarkEnd w:id="23"/>
    </w:p>
    <w:p>
      <w:pPr>
        <w:jc w:val="center"/>
        <w:rPr>
          <w:rFonts w:ascii="宋体" w:hAnsi="宋体" w:eastAsia="宋体" w:cs="宋体"/>
          <w:b w:val="0"/>
          <w:bCs w:val="0"/>
          <w:color w:val="auto"/>
          <w:sz w:val="44"/>
          <w:szCs w:val="44"/>
        </w:rPr>
      </w:pPr>
      <w:r>
        <w:rPr>
          <w:rFonts w:hint="eastAsia" w:ascii="宋体" w:hAnsi="宋体" w:eastAsia="宋体" w:cs="宋体"/>
          <w:b w:val="0"/>
          <w:bCs w:val="0"/>
          <w:color w:val="auto"/>
          <w:sz w:val="44"/>
          <w:szCs w:val="44"/>
        </w:rPr>
        <w:t>（</w:t>
      </w:r>
      <w:r>
        <w:rPr>
          <w:rFonts w:hint="eastAsia" w:ascii="宋体" w:hAnsi="宋体" w:eastAsia="宋体" w:cs="宋体"/>
          <w:b w:val="0"/>
          <w:bCs w:val="0"/>
          <w:color w:val="auto"/>
          <w:sz w:val="44"/>
          <w:szCs w:val="44"/>
          <w:lang w:val="en-US" w:eastAsia="zh-CN"/>
        </w:rPr>
        <w:t>征求意见稿</w:t>
      </w:r>
      <w:r>
        <w:rPr>
          <w:rFonts w:hint="eastAsia" w:ascii="宋体" w:hAnsi="宋体" w:eastAsia="宋体" w:cs="宋体"/>
          <w:b w:val="0"/>
          <w:bCs w:val="0"/>
          <w:color w:val="auto"/>
          <w:sz w:val="44"/>
          <w:szCs w:val="44"/>
        </w:rPr>
        <w:t>）</w:t>
      </w:r>
    </w:p>
    <w:p>
      <w:pPr>
        <w:snapToGrid w:val="0"/>
        <w:spacing w:line="360" w:lineRule="auto"/>
        <w:jc w:val="center"/>
        <w:rPr>
          <w:rFonts w:ascii="楷体" w:hAnsi="楷体" w:eastAsia="楷体" w:cs="宋体"/>
          <w:b/>
          <w:color w:val="000000"/>
          <w:kern w:val="0"/>
          <w:sz w:val="28"/>
          <w:szCs w:val="28"/>
        </w:rPr>
      </w:pPr>
      <w:r>
        <w:rPr>
          <w:rFonts w:hint="eastAsia" w:ascii="楷体" w:hAnsi="楷体" w:eastAsia="楷体" w:cs="宋体"/>
          <w:b/>
          <w:color w:val="000000"/>
          <w:kern w:val="0"/>
          <w:sz w:val="28"/>
          <w:szCs w:val="28"/>
        </w:rPr>
        <w:t xml:space="preserve"> </w:t>
      </w:r>
    </w:p>
    <w:p>
      <w:pPr>
        <w:snapToGrid w:val="0"/>
        <w:spacing w:line="360" w:lineRule="auto"/>
        <w:jc w:val="center"/>
        <w:rPr>
          <w:rFonts w:ascii="楷体" w:hAnsi="楷体" w:eastAsia="楷体" w:cs="宋体"/>
          <w:b/>
          <w:color w:val="000000"/>
          <w:kern w:val="0"/>
          <w:sz w:val="28"/>
          <w:szCs w:val="28"/>
        </w:rPr>
      </w:pPr>
      <w:r>
        <w:rPr>
          <w:rFonts w:hint="eastAsia" w:ascii="楷体" w:hAnsi="楷体" w:eastAsia="楷体" w:cs="宋体"/>
          <w:b/>
          <w:color w:val="000000"/>
          <w:kern w:val="0"/>
          <w:sz w:val="28"/>
          <w:szCs w:val="28"/>
        </w:rPr>
        <w:t xml:space="preserve"> </w:t>
      </w:r>
    </w:p>
    <w:p>
      <w:pPr>
        <w:snapToGrid w:val="0"/>
        <w:spacing w:line="360" w:lineRule="auto"/>
        <w:jc w:val="center"/>
        <w:rPr>
          <w:rFonts w:ascii="楷体" w:hAnsi="楷体" w:eastAsia="楷体" w:cs="宋体"/>
          <w:b/>
          <w:color w:val="000000"/>
          <w:kern w:val="0"/>
          <w:sz w:val="28"/>
          <w:szCs w:val="28"/>
        </w:rPr>
      </w:pPr>
      <w:r>
        <w:rPr>
          <w:rFonts w:hint="eastAsia" w:ascii="楷体" w:hAnsi="楷体" w:eastAsia="楷体" w:cs="宋体"/>
          <w:b/>
          <w:color w:val="000000"/>
          <w:kern w:val="0"/>
          <w:sz w:val="28"/>
          <w:szCs w:val="28"/>
        </w:rPr>
        <w:t xml:space="preserve"> </w:t>
      </w:r>
    </w:p>
    <w:p>
      <w:pPr>
        <w:snapToGrid w:val="0"/>
        <w:spacing w:line="360" w:lineRule="auto"/>
        <w:jc w:val="center"/>
        <w:rPr>
          <w:rFonts w:ascii="楷体" w:hAnsi="楷体" w:eastAsia="楷体" w:cs="宋体"/>
          <w:b/>
          <w:color w:val="000000"/>
          <w:kern w:val="0"/>
          <w:sz w:val="28"/>
          <w:szCs w:val="28"/>
        </w:rPr>
      </w:pPr>
      <w:r>
        <w:rPr>
          <w:rFonts w:hint="eastAsia" w:ascii="楷体" w:hAnsi="楷体" w:eastAsia="楷体" w:cs="宋体"/>
          <w:b/>
          <w:color w:val="000000"/>
          <w:kern w:val="0"/>
          <w:sz w:val="28"/>
          <w:szCs w:val="28"/>
        </w:rPr>
        <w:t xml:space="preserve"> </w:t>
      </w:r>
    </w:p>
    <w:p>
      <w:pPr>
        <w:snapToGrid w:val="0"/>
        <w:spacing w:line="360" w:lineRule="auto"/>
        <w:jc w:val="center"/>
        <w:rPr>
          <w:rFonts w:ascii="楷体" w:hAnsi="楷体" w:eastAsia="楷体" w:cs="宋体"/>
          <w:b/>
          <w:color w:val="000000"/>
          <w:kern w:val="0"/>
          <w:sz w:val="28"/>
          <w:szCs w:val="28"/>
        </w:rPr>
      </w:pPr>
      <w:r>
        <w:rPr>
          <w:rFonts w:hint="eastAsia" w:ascii="楷体" w:hAnsi="楷体" w:eastAsia="楷体" w:cs="宋体"/>
          <w:b/>
          <w:color w:val="000000"/>
          <w:kern w:val="0"/>
          <w:sz w:val="28"/>
          <w:szCs w:val="28"/>
        </w:rPr>
        <w:t xml:space="preserve"> </w:t>
      </w:r>
    </w:p>
    <w:p>
      <w:pPr>
        <w:snapToGrid w:val="0"/>
        <w:spacing w:line="360" w:lineRule="auto"/>
        <w:jc w:val="center"/>
        <w:rPr>
          <w:rFonts w:ascii="楷体" w:hAnsi="楷体" w:eastAsia="楷体" w:cs="宋体"/>
          <w:b/>
          <w:color w:val="000000"/>
          <w:kern w:val="0"/>
          <w:sz w:val="28"/>
          <w:szCs w:val="28"/>
        </w:rPr>
      </w:pPr>
      <w:r>
        <w:rPr>
          <w:rFonts w:hint="eastAsia" w:ascii="楷体" w:hAnsi="楷体" w:eastAsia="楷体" w:cs="宋体"/>
          <w:b/>
          <w:color w:val="000000"/>
          <w:kern w:val="0"/>
          <w:sz w:val="28"/>
          <w:szCs w:val="28"/>
        </w:rPr>
        <w:t xml:space="preserve"> </w:t>
      </w:r>
    </w:p>
    <w:p>
      <w:pPr>
        <w:snapToGrid w:val="0"/>
        <w:spacing w:line="360" w:lineRule="auto"/>
        <w:jc w:val="both"/>
        <w:rPr>
          <w:rFonts w:ascii="楷体" w:hAnsi="楷体" w:eastAsia="楷体" w:cs="宋体"/>
          <w:b/>
          <w:color w:val="000000"/>
          <w:kern w:val="0"/>
          <w:sz w:val="28"/>
          <w:szCs w:val="28"/>
        </w:rPr>
      </w:pPr>
    </w:p>
    <w:p>
      <w:pPr>
        <w:snapToGrid w:val="0"/>
        <w:spacing w:line="360" w:lineRule="auto"/>
        <w:jc w:val="center"/>
        <w:rPr>
          <w:rFonts w:ascii="楷体" w:hAnsi="楷体" w:eastAsia="楷体" w:cs="宋体"/>
          <w:b/>
          <w:color w:val="000000"/>
          <w:kern w:val="0"/>
          <w:sz w:val="28"/>
          <w:szCs w:val="28"/>
        </w:rPr>
      </w:pPr>
      <w:r>
        <w:rPr>
          <w:rFonts w:hint="eastAsia" w:ascii="楷体" w:hAnsi="楷体" w:eastAsia="楷体" w:cs="宋体"/>
          <w:b/>
          <w:color w:val="000000"/>
          <w:kern w:val="0"/>
          <w:sz w:val="28"/>
          <w:szCs w:val="28"/>
        </w:rPr>
        <w:t xml:space="preserve"> </w:t>
      </w:r>
    </w:p>
    <w:p>
      <w:pPr>
        <w:snapToGrid w:val="0"/>
        <w:spacing w:line="360" w:lineRule="auto"/>
        <w:jc w:val="center"/>
        <w:rPr>
          <w:rFonts w:ascii="楷体" w:hAnsi="楷体" w:eastAsia="楷体" w:cs="宋体"/>
          <w:b/>
          <w:color w:val="000000"/>
          <w:kern w:val="0"/>
          <w:sz w:val="28"/>
          <w:szCs w:val="28"/>
        </w:rPr>
      </w:pPr>
      <w:r>
        <w:rPr>
          <w:rFonts w:hint="eastAsia" w:ascii="楷体" w:hAnsi="楷体" w:eastAsia="楷体" w:cs="宋体"/>
          <w:b/>
          <w:color w:val="000000"/>
          <w:kern w:val="0"/>
          <w:sz w:val="28"/>
          <w:szCs w:val="28"/>
        </w:rPr>
        <w:t xml:space="preserve"> </w:t>
      </w:r>
    </w:p>
    <w:p>
      <w:pPr>
        <w:snapToGrid w:val="0"/>
        <w:spacing w:line="360" w:lineRule="auto"/>
        <w:rPr>
          <w:rFonts w:ascii="楷体" w:hAnsi="楷体" w:eastAsia="楷体" w:cs="宋体"/>
          <w:b/>
          <w:color w:val="000000"/>
          <w:kern w:val="0"/>
          <w:sz w:val="28"/>
          <w:szCs w:val="28"/>
        </w:rPr>
      </w:pPr>
      <w:r>
        <w:rPr>
          <w:rFonts w:hint="eastAsia" w:ascii="楷体" w:hAnsi="楷体" w:eastAsia="楷体" w:cs="宋体"/>
          <w:b/>
          <w:color w:val="000000"/>
          <w:kern w:val="0"/>
          <w:sz w:val="28"/>
          <w:szCs w:val="28"/>
        </w:rPr>
        <w:t xml:space="preserve"> </w:t>
      </w:r>
    </w:p>
    <w:p>
      <w:pPr>
        <w:widowControl/>
        <w:spacing w:line="560" w:lineRule="exact"/>
        <w:jc w:val="center"/>
        <w:rPr>
          <w:rFonts w:ascii="Times New Roman" w:hAnsi="Times New Roman" w:eastAsia="楷体" w:cs="Times New Roman"/>
          <w:b/>
          <w:bCs/>
          <w:iCs/>
          <w:sz w:val="32"/>
          <w:szCs w:val="28"/>
        </w:rPr>
      </w:pPr>
      <w:r>
        <w:rPr>
          <w:rFonts w:hint="eastAsia" w:ascii="Times New Roman" w:hAnsi="Times New Roman" w:eastAsia="楷体" w:cs="Times New Roman"/>
          <w:b/>
          <w:bCs/>
          <w:iCs/>
          <w:sz w:val="32"/>
          <w:szCs w:val="28"/>
        </w:rPr>
        <w:t xml:space="preserve">郑州市发展和改革委员会 </w:t>
      </w:r>
    </w:p>
    <w:p>
      <w:pPr>
        <w:widowControl/>
        <w:spacing w:line="560" w:lineRule="exact"/>
        <w:jc w:val="center"/>
        <w:rPr>
          <w:rFonts w:ascii="Times New Roman" w:hAnsi="Times New Roman" w:eastAsia="楷体" w:cs="Times New Roman"/>
          <w:b/>
          <w:bCs/>
          <w:iCs/>
          <w:sz w:val="32"/>
          <w:szCs w:val="28"/>
        </w:rPr>
      </w:pPr>
      <w:r>
        <w:rPr>
          <w:rFonts w:hint="eastAsia" w:ascii="Times New Roman" w:hAnsi="Times New Roman" w:eastAsia="楷体" w:cs="Times New Roman"/>
          <w:b/>
          <w:bCs/>
          <w:iCs/>
          <w:sz w:val="32"/>
          <w:szCs w:val="28"/>
        </w:rPr>
        <w:t>二〇二一年十一月</w:t>
      </w:r>
    </w:p>
    <w:p>
      <w:pPr>
        <w:snapToGrid w:val="0"/>
        <w:jc w:val="center"/>
        <w:rPr>
          <w:rFonts w:ascii="楷体_GB2312" w:hAnsi="仿宋" w:eastAsia="楷体_GB2312" w:cs="宋体"/>
          <w:b/>
          <w:bCs/>
          <w:color w:val="000000" w:themeColor="text1"/>
          <w:kern w:val="0"/>
          <w:sz w:val="28"/>
          <w:szCs w:val="28"/>
          <w14:textFill>
            <w14:solidFill>
              <w14:schemeClr w14:val="tx1"/>
            </w14:solidFill>
          </w14:textFill>
        </w:rPr>
        <w:sectPr>
          <w:headerReference r:id="rId4" w:type="first"/>
          <w:headerReference r:id="rId3" w:type="default"/>
          <w:pgSz w:w="11906" w:h="16838"/>
          <w:pgMar w:top="1440" w:right="1800" w:bottom="1440" w:left="1800" w:header="851" w:footer="992" w:gutter="0"/>
          <w:cols w:space="425" w:num="1"/>
          <w:titlePg/>
          <w:docGrid w:type="lines" w:linePitch="312" w:charSpace="0"/>
        </w:sectPr>
      </w:pPr>
    </w:p>
    <w:sdt>
      <w:sdtPr>
        <w:rPr>
          <w:rFonts w:ascii="宋体" w:hAnsi="宋体" w:eastAsia="宋体"/>
          <w:b/>
          <w:bCs/>
          <w:sz w:val="44"/>
          <w:szCs w:val="44"/>
        </w:rPr>
        <w:id w:val="147469734"/>
        <w:docPartObj>
          <w:docPartGallery w:val="Table of Contents"/>
          <w:docPartUnique/>
        </w:docPartObj>
      </w:sdtPr>
      <w:sdtEndPr>
        <w:rPr>
          <w:rFonts w:ascii="方正小标宋_GBK" w:hAnsi="仿宋" w:eastAsia="方正小标宋_GBK" w:cs="宋体"/>
          <w:b/>
          <w:bCs/>
          <w:color w:val="000000" w:themeColor="text1"/>
          <w:kern w:val="0"/>
          <w:sz w:val="28"/>
          <w:szCs w:val="28"/>
          <w14:textFill>
            <w14:solidFill>
              <w14:schemeClr w14:val="tx1"/>
            </w14:solidFill>
          </w14:textFill>
        </w:rPr>
      </w:sdtEndPr>
      <w:sdtContent>
        <w:p>
          <w:pPr>
            <w:jc w:val="center"/>
            <w:rPr>
              <w:rFonts w:ascii="宋体" w:hAnsi="宋体" w:eastAsia="宋体"/>
              <w:b/>
              <w:bCs/>
              <w:sz w:val="44"/>
              <w:szCs w:val="44"/>
            </w:rPr>
          </w:pPr>
          <w:r>
            <w:rPr>
              <w:rFonts w:ascii="宋体" w:hAnsi="宋体" w:eastAsia="宋体"/>
              <w:b/>
              <w:bCs/>
              <w:sz w:val="44"/>
              <w:szCs w:val="44"/>
            </w:rPr>
            <w:t>目录</w:t>
          </w:r>
        </w:p>
        <w:p>
          <w:pPr>
            <w:pStyle w:val="11"/>
            <w:tabs>
              <w:tab w:val="right" w:leader="dot" w:pos="8306"/>
            </w:tabs>
            <w:rPr>
              <w:sz w:val="28"/>
              <w:szCs w:val="28"/>
            </w:rPr>
          </w:pPr>
          <w:r>
            <w:rPr>
              <w:rFonts w:hint="eastAsia" w:ascii="楷体" w:hAnsi="楷体" w:eastAsia="楷体" w:cs="楷体"/>
              <w:b/>
              <w:color w:val="000000" w:themeColor="text1"/>
              <w:kern w:val="0"/>
              <w:sz w:val="28"/>
              <w:szCs w:val="28"/>
              <w14:textFill>
                <w14:solidFill>
                  <w14:schemeClr w14:val="tx1"/>
                </w14:solidFill>
              </w14:textFill>
            </w:rPr>
            <w:fldChar w:fldCharType="begin"/>
          </w:r>
          <w:r>
            <w:rPr>
              <w:rFonts w:hint="eastAsia" w:ascii="楷体" w:hAnsi="楷体" w:eastAsia="楷体" w:cs="楷体"/>
              <w:b/>
              <w:color w:val="000000" w:themeColor="text1"/>
              <w:kern w:val="0"/>
              <w:sz w:val="28"/>
              <w:szCs w:val="28"/>
              <w14:textFill>
                <w14:solidFill>
                  <w14:schemeClr w14:val="tx1"/>
                </w14:solidFill>
              </w14:textFill>
            </w:rPr>
            <w:instrText xml:space="preserve">TOC \o "1-2" \h \u </w:instrText>
          </w:r>
          <w:r>
            <w:rPr>
              <w:rFonts w:hint="eastAsia" w:ascii="楷体" w:hAnsi="楷体" w:eastAsia="楷体" w:cs="楷体"/>
              <w:b/>
              <w:color w:val="000000" w:themeColor="text1"/>
              <w:kern w:val="0"/>
              <w:sz w:val="28"/>
              <w:szCs w:val="28"/>
              <w14:textFill>
                <w14:solidFill>
                  <w14:schemeClr w14:val="tx1"/>
                </w14:solidFill>
              </w14:textFill>
            </w:rPr>
            <w:fldChar w:fldCharType="separate"/>
          </w:r>
        </w:p>
        <w:p>
          <w:pPr>
            <w:pStyle w:val="11"/>
            <w:tabs>
              <w:tab w:val="right" w:leader="dot" w:pos="8306"/>
            </w:tabs>
            <w:rPr>
              <w:sz w:val="28"/>
              <w:szCs w:val="28"/>
            </w:rPr>
          </w:pPr>
          <w:r>
            <w:fldChar w:fldCharType="begin"/>
          </w:r>
          <w:r>
            <w:instrText xml:space="preserve"> HYPERLINK \l "_Toc21490" </w:instrText>
          </w:r>
          <w:r>
            <w:fldChar w:fldCharType="separate"/>
          </w:r>
          <w:r>
            <w:rPr>
              <w:rFonts w:hint="eastAsia" w:ascii="黑体" w:hAnsi="黑体" w:eastAsia="黑体"/>
              <w:bCs/>
              <w:sz w:val="28"/>
              <w:szCs w:val="28"/>
              <w:shd w:val="clear" w:color="auto" w:fill="FFFFFF"/>
            </w:rPr>
            <w:t>前  言</w:t>
          </w:r>
          <w:r>
            <w:rPr>
              <w:sz w:val="28"/>
              <w:szCs w:val="28"/>
            </w:rPr>
            <w:tab/>
          </w:r>
          <w:r>
            <w:rPr>
              <w:sz w:val="28"/>
              <w:szCs w:val="28"/>
            </w:rPr>
            <w:fldChar w:fldCharType="begin"/>
          </w:r>
          <w:r>
            <w:rPr>
              <w:sz w:val="28"/>
              <w:szCs w:val="28"/>
            </w:rPr>
            <w:instrText xml:space="preserve"> PAGEREF _Toc21490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"_Toc13473" </w:instrText>
          </w:r>
          <w:r>
            <w:fldChar w:fldCharType="separate"/>
          </w:r>
          <w:r>
            <w:rPr>
              <w:rFonts w:hint="eastAsia" w:ascii="黑体" w:hAnsi="黑体" w:eastAsia="黑体"/>
              <w:sz w:val="28"/>
              <w:szCs w:val="28"/>
            </w:rPr>
            <w:t>一、产业现状与面临形势</w:t>
          </w:r>
          <w:r>
            <w:rPr>
              <w:sz w:val="28"/>
              <w:szCs w:val="28"/>
            </w:rPr>
            <w:tab/>
          </w:r>
          <w:r>
            <w:rPr>
              <w:sz w:val="28"/>
              <w:szCs w:val="28"/>
            </w:rPr>
            <w:fldChar w:fldCharType="begin"/>
          </w:r>
          <w:r>
            <w:rPr>
              <w:sz w:val="28"/>
              <w:szCs w:val="28"/>
            </w:rPr>
            <w:instrText xml:space="preserve"> PAGEREF _Toc13473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2"/>
            <w:tabs>
              <w:tab w:val="right" w:leader="dot" w:pos="8306"/>
            </w:tabs>
            <w:rPr>
              <w:sz w:val="28"/>
              <w:szCs w:val="28"/>
            </w:rPr>
          </w:pPr>
          <w:r>
            <w:fldChar w:fldCharType="begin"/>
          </w:r>
          <w:r>
            <w:instrText xml:space="preserve"> HYPERLINK \l "_Toc26992" </w:instrText>
          </w:r>
          <w:r>
            <w:fldChar w:fldCharType="separate"/>
          </w:r>
          <w:r>
            <w:rPr>
              <w:rFonts w:hint="eastAsia" w:ascii="仿宋_GB2312" w:hAnsi="仿宋_GB2312" w:eastAsia="仿宋_GB2312" w:cs="仿宋_GB2312"/>
              <w:sz w:val="28"/>
              <w:szCs w:val="28"/>
            </w:rPr>
            <w:t>（一）产业现状</w:t>
          </w:r>
          <w:r>
            <w:rPr>
              <w:sz w:val="28"/>
              <w:szCs w:val="28"/>
            </w:rPr>
            <w:tab/>
          </w:r>
          <w:r>
            <w:rPr>
              <w:sz w:val="28"/>
              <w:szCs w:val="28"/>
            </w:rPr>
            <w:fldChar w:fldCharType="begin"/>
          </w:r>
          <w:r>
            <w:rPr>
              <w:sz w:val="28"/>
              <w:szCs w:val="28"/>
            </w:rPr>
            <w:instrText xml:space="preserve"> PAGEREF _Toc26992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2"/>
            <w:tabs>
              <w:tab w:val="right" w:leader="dot" w:pos="8306"/>
            </w:tabs>
            <w:rPr>
              <w:sz w:val="28"/>
              <w:szCs w:val="28"/>
            </w:rPr>
          </w:pPr>
          <w:r>
            <w:fldChar w:fldCharType="begin"/>
          </w:r>
          <w:r>
            <w:instrText xml:space="preserve"> HYPERLINK \l "_Toc2532" </w:instrText>
          </w:r>
          <w:r>
            <w:fldChar w:fldCharType="separate"/>
          </w:r>
          <w:r>
            <w:rPr>
              <w:rFonts w:hint="eastAsia" w:ascii="仿宋_GB2312" w:hAnsi="仿宋_GB2312" w:eastAsia="仿宋_GB2312" w:cs="仿宋_GB2312"/>
              <w:sz w:val="28"/>
              <w:szCs w:val="28"/>
            </w:rPr>
            <w:t>（二）面临形势</w:t>
          </w:r>
          <w:r>
            <w:rPr>
              <w:sz w:val="28"/>
              <w:szCs w:val="28"/>
            </w:rPr>
            <w:tab/>
          </w:r>
          <w:r>
            <w:rPr>
              <w:sz w:val="28"/>
              <w:szCs w:val="28"/>
            </w:rPr>
            <w:fldChar w:fldCharType="begin"/>
          </w:r>
          <w:r>
            <w:rPr>
              <w:sz w:val="28"/>
              <w:szCs w:val="28"/>
            </w:rPr>
            <w:instrText xml:space="preserve"> PAGEREF _Toc2532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"_Toc24978" </w:instrText>
          </w:r>
          <w:r>
            <w:fldChar w:fldCharType="separate"/>
          </w:r>
          <w:r>
            <w:rPr>
              <w:rFonts w:hint="eastAsia" w:ascii="黑体" w:hAnsi="黑体" w:eastAsia="黑体"/>
              <w:sz w:val="28"/>
              <w:szCs w:val="28"/>
            </w:rPr>
            <w:t>二、总体思路和发展目标</w:t>
          </w:r>
          <w:r>
            <w:rPr>
              <w:sz w:val="28"/>
              <w:szCs w:val="28"/>
            </w:rPr>
            <w:tab/>
          </w:r>
          <w:r>
            <w:rPr>
              <w:sz w:val="28"/>
              <w:szCs w:val="28"/>
            </w:rPr>
            <w:fldChar w:fldCharType="begin"/>
          </w:r>
          <w:r>
            <w:rPr>
              <w:sz w:val="28"/>
              <w:szCs w:val="28"/>
            </w:rPr>
            <w:instrText xml:space="preserve"> PAGEREF _Toc24978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2"/>
            <w:tabs>
              <w:tab w:val="right" w:leader="dot" w:pos="8306"/>
            </w:tabs>
            <w:rPr>
              <w:sz w:val="28"/>
              <w:szCs w:val="28"/>
            </w:rPr>
          </w:pPr>
          <w:r>
            <w:fldChar w:fldCharType="begin"/>
          </w:r>
          <w:r>
            <w:instrText xml:space="preserve"> HYPERLINK \l "_Toc3672" </w:instrText>
          </w:r>
          <w:r>
            <w:fldChar w:fldCharType="separate"/>
          </w:r>
          <w:r>
            <w:rPr>
              <w:rFonts w:hint="eastAsia" w:ascii="仿宋_GB2312" w:hAnsi="仿宋_GB2312" w:eastAsia="仿宋_GB2312" w:cs="仿宋_GB2312"/>
              <w:sz w:val="28"/>
              <w:szCs w:val="28"/>
            </w:rPr>
            <w:t>（一）指导思想</w:t>
          </w:r>
          <w:r>
            <w:rPr>
              <w:sz w:val="28"/>
              <w:szCs w:val="28"/>
            </w:rPr>
            <w:tab/>
          </w:r>
          <w:r>
            <w:rPr>
              <w:sz w:val="28"/>
              <w:szCs w:val="28"/>
            </w:rPr>
            <w:fldChar w:fldCharType="begin"/>
          </w:r>
          <w:r>
            <w:rPr>
              <w:sz w:val="28"/>
              <w:szCs w:val="28"/>
            </w:rPr>
            <w:instrText xml:space="preserve"> PAGEREF _Toc3672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2"/>
            <w:tabs>
              <w:tab w:val="right" w:leader="dot" w:pos="8306"/>
            </w:tabs>
            <w:rPr>
              <w:sz w:val="28"/>
              <w:szCs w:val="28"/>
            </w:rPr>
          </w:pPr>
          <w:r>
            <w:fldChar w:fldCharType="begin"/>
          </w:r>
          <w:r>
            <w:instrText xml:space="preserve"> HYPERLINK \l "_Toc4041" </w:instrText>
          </w:r>
          <w:r>
            <w:fldChar w:fldCharType="separate"/>
          </w:r>
          <w:r>
            <w:rPr>
              <w:rFonts w:hint="eastAsia" w:ascii="仿宋_GB2312" w:hAnsi="仿宋_GB2312" w:eastAsia="仿宋_GB2312" w:cs="仿宋_GB2312"/>
              <w:sz w:val="28"/>
              <w:szCs w:val="28"/>
            </w:rPr>
            <w:t>（二）基本原则</w:t>
          </w:r>
          <w:r>
            <w:rPr>
              <w:sz w:val="28"/>
              <w:szCs w:val="28"/>
            </w:rPr>
            <w:tab/>
          </w:r>
          <w:r>
            <w:rPr>
              <w:sz w:val="28"/>
              <w:szCs w:val="28"/>
            </w:rPr>
            <w:fldChar w:fldCharType="begin"/>
          </w:r>
          <w:r>
            <w:rPr>
              <w:sz w:val="28"/>
              <w:szCs w:val="28"/>
            </w:rPr>
            <w:instrText xml:space="preserve"> PAGEREF _Toc4041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2"/>
            <w:tabs>
              <w:tab w:val="right" w:leader="dot" w:pos="8306"/>
            </w:tabs>
            <w:rPr>
              <w:sz w:val="28"/>
              <w:szCs w:val="28"/>
            </w:rPr>
          </w:pPr>
          <w:r>
            <w:fldChar w:fldCharType="begin"/>
          </w:r>
          <w:r>
            <w:instrText xml:space="preserve"> HYPERLINK \l "_Toc19101" </w:instrText>
          </w:r>
          <w:r>
            <w:fldChar w:fldCharType="separate"/>
          </w:r>
          <w:r>
            <w:rPr>
              <w:rFonts w:hint="eastAsia" w:ascii="仿宋_GB2312" w:hAnsi="仿宋_GB2312" w:eastAsia="仿宋_GB2312" w:cs="仿宋_GB2312"/>
              <w:sz w:val="28"/>
              <w:szCs w:val="28"/>
            </w:rPr>
            <w:t>（三）发展布局</w:t>
          </w:r>
          <w:r>
            <w:rPr>
              <w:sz w:val="28"/>
              <w:szCs w:val="28"/>
            </w:rPr>
            <w:tab/>
          </w:r>
          <w:r>
            <w:rPr>
              <w:sz w:val="28"/>
              <w:szCs w:val="28"/>
            </w:rPr>
            <w:fldChar w:fldCharType="begin"/>
          </w:r>
          <w:r>
            <w:rPr>
              <w:sz w:val="28"/>
              <w:szCs w:val="28"/>
            </w:rPr>
            <w:instrText xml:space="preserve"> PAGEREF _Toc19101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2"/>
            <w:tabs>
              <w:tab w:val="right" w:leader="dot" w:pos="8306"/>
            </w:tabs>
            <w:rPr>
              <w:sz w:val="28"/>
              <w:szCs w:val="28"/>
            </w:rPr>
          </w:pPr>
          <w:r>
            <w:fldChar w:fldCharType="begin"/>
          </w:r>
          <w:r>
            <w:instrText xml:space="preserve"> HYPERLINK \l "_Toc6489" </w:instrText>
          </w:r>
          <w:r>
            <w:fldChar w:fldCharType="separate"/>
          </w:r>
          <w:r>
            <w:rPr>
              <w:rFonts w:hint="eastAsia" w:ascii="仿宋_GB2312" w:hAnsi="仿宋_GB2312" w:eastAsia="仿宋_GB2312" w:cs="仿宋_GB2312"/>
              <w:sz w:val="28"/>
              <w:szCs w:val="28"/>
            </w:rPr>
            <w:t>（四）发展目标</w:t>
          </w:r>
          <w:r>
            <w:rPr>
              <w:sz w:val="28"/>
              <w:szCs w:val="28"/>
            </w:rPr>
            <w:tab/>
          </w:r>
          <w:r>
            <w:rPr>
              <w:sz w:val="28"/>
              <w:szCs w:val="28"/>
            </w:rPr>
            <w:fldChar w:fldCharType="begin"/>
          </w:r>
          <w:r>
            <w:rPr>
              <w:sz w:val="28"/>
              <w:szCs w:val="28"/>
            </w:rPr>
            <w:instrText xml:space="preserve"> PAGEREF _Toc6489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"_Toc14697" </w:instrText>
          </w:r>
          <w:r>
            <w:fldChar w:fldCharType="separate"/>
          </w:r>
          <w:r>
            <w:rPr>
              <w:rFonts w:hint="eastAsia" w:ascii="黑体" w:hAnsi="黑体" w:eastAsia="黑体"/>
              <w:sz w:val="28"/>
              <w:szCs w:val="28"/>
            </w:rPr>
            <w:t>三、重点发展产业</w:t>
          </w:r>
          <w:r>
            <w:rPr>
              <w:sz w:val="28"/>
              <w:szCs w:val="28"/>
            </w:rPr>
            <w:tab/>
          </w:r>
          <w:r>
            <w:rPr>
              <w:sz w:val="28"/>
              <w:szCs w:val="28"/>
            </w:rPr>
            <w:fldChar w:fldCharType="begin"/>
          </w:r>
          <w:r>
            <w:rPr>
              <w:sz w:val="28"/>
              <w:szCs w:val="28"/>
            </w:rPr>
            <w:instrText xml:space="preserve"> PAGEREF _Toc14697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2"/>
            <w:tabs>
              <w:tab w:val="right" w:leader="dot" w:pos="8306"/>
            </w:tabs>
            <w:rPr>
              <w:sz w:val="28"/>
              <w:szCs w:val="28"/>
            </w:rPr>
          </w:pPr>
          <w:r>
            <w:fldChar w:fldCharType="begin"/>
          </w:r>
          <w:r>
            <w:instrText xml:space="preserve"> HYPERLINK \l "_Toc22177" </w:instrText>
          </w:r>
          <w:r>
            <w:fldChar w:fldCharType="separate"/>
          </w:r>
          <w:r>
            <w:rPr>
              <w:rFonts w:hint="eastAsia" w:ascii="仿宋_GB2312" w:hAnsi="仿宋_GB2312" w:eastAsia="仿宋_GB2312" w:cs="仿宋_GB2312"/>
              <w:sz w:val="28"/>
              <w:szCs w:val="28"/>
            </w:rPr>
            <w:t>（一）大力推动创新创业服务能力提升</w:t>
          </w:r>
          <w:r>
            <w:rPr>
              <w:sz w:val="28"/>
              <w:szCs w:val="28"/>
            </w:rPr>
            <w:tab/>
          </w:r>
          <w:r>
            <w:rPr>
              <w:sz w:val="28"/>
              <w:szCs w:val="28"/>
            </w:rPr>
            <w:fldChar w:fldCharType="begin"/>
          </w:r>
          <w:r>
            <w:rPr>
              <w:sz w:val="28"/>
              <w:szCs w:val="28"/>
            </w:rPr>
            <w:instrText xml:space="preserve"> PAGEREF _Toc22177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2"/>
            <w:tabs>
              <w:tab w:val="right" w:leader="dot" w:pos="8306"/>
            </w:tabs>
            <w:rPr>
              <w:sz w:val="28"/>
              <w:szCs w:val="28"/>
            </w:rPr>
          </w:pPr>
          <w:r>
            <w:fldChar w:fldCharType="begin"/>
          </w:r>
          <w:r>
            <w:instrText xml:space="preserve"> HYPERLINK \l "_Toc24624" </w:instrText>
          </w:r>
          <w:r>
            <w:fldChar w:fldCharType="separate"/>
          </w:r>
          <w:r>
            <w:rPr>
              <w:rFonts w:hint="eastAsia" w:ascii="仿宋_GB2312" w:hAnsi="仿宋_GB2312" w:eastAsia="仿宋_GB2312" w:cs="仿宋_GB2312"/>
              <w:sz w:val="28"/>
              <w:szCs w:val="28"/>
            </w:rPr>
            <w:t>（二）持续强化现代金融服务体系建设</w:t>
          </w:r>
          <w:r>
            <w:rPr>
              <w:sz w:val="28"/>
              <w:szCs w:val="28"/>
            </w:rPr>
            <w:tab/>
          </w:r>
          <w:r>
            <w:rPr>
              <w:sz w:val="28"/>
              <w:szCs w:val="28"/>
            </w:rPr>
            <w:fldChar w:fldCharType="begin"/>
          </w:r>
          <w:r>
            <w:rPr>
              <w:sz w:val="28"/>
              <w:szCs w:val="28"/>
            </w:rPr>
            <w:instrText xml:space="preserve"> PAGEREF _Toc24624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2"/>
            <w:tabs>
              <w:tab w:val="right" w:leader="dot" w:pos="8306"/>
            </w:tabs>
            <w:rPr>
              <w:sz w:val="28"/>
              <w:szCs w:val="28"/>
            </w:rPr>
          </w:pPr>
          <w:r>
            <w:fldChar w:fldCharType="begin"/>
          </w:r>
          <w:r>
            <w:instrText xml:space="preserve"> HYPERLINK \l "_Toc21384" </w:instrText>
          </w:r>
          <w:r>
            <w:fldChar w:fldCharType="separate"/>
          </w:r>
          <w:r>
            <w:rPr>
              <w:rFonts w:hint="eastAsia" w:ascii="仿宋_GB2312" w:hAnsi="仿宋_GB2312" w:eastAsia="仿宋_GB2312" w:cs="仿宋_GB2312"/>
              <w:sz w:val="28"/>
              <w:szCs w:val="28"/>
            </w:rPr>
            <w:t>（三）着力打造研发及知识产权服务新高地</w:t>
          </w:r>
          <w:r>
            <w:rPr>
              <w:sz w:val="28"/>
              <w:szCs w:val="28"/>
            </w:rPr>
            <w:tab/>
          </w:r>
          <w:r>
            <w:rPr>
              <w:sz w:val="28"/>
              <w:szCs w:val="28"/>
            </w:rPr>
            <w:fldChar w:fldCharType="begin"/>
          </w:r>
          <w:r>
            <w:rPr>
              <w:sz w:val="28"/>
              <w:szCs w:val="28"/>
            </w:rPr>
            <w:instrText xml:space="preserve"> PAGEREF _Toc21384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12"/>
            <w:tabs>
              <w:tab w:val="right" w:leader="dot" w:pos="8306"/>
            </w:tabs>
            <w:rPr>
              <w:sz w:val="28"/>
              <w:szCs w:val="28"/>
            </w:rPr>
          </w:pPr>
          <w:r>
            <w:fldChar w:fldCharType="begin"/>
          </w:r>
          <w:r>
            <w:instrText xml:space="preserve"> HYPERLINK \l "_Toc28259" </w:instrText>
          </w:r>
          <w:r>
            <w:fldChar w:fldCharType="separate"/>
          </w:r>
          <w:r>
            <w:rPr>
              <w:rFonts w:hint="eastAsia" w:ascii="仿宋_GB2312" w:hAnsi="仿宋_GB2312" w:eastAsia="仿宋_GB2312" w:cs="仿宋_GB2312"/>
              <w:sz w:val="28"/>
              <w:szCs w:val="28"/>
            </w:rPr>
            <w:t>（四）大力构建检验检测认证服务体系</w:t>
          </w:r>
          <w:r>
            <w:rPr>
              <w:sz w:val="28"/>
              <w:szCs w:val="28"/>
            </w:rPr>
            <w:tab/>
          </w:r>
          <w:r>
            <w:rPr>
              <w:sz w:val="28"/>
              <w:szCs w:val="28"/>
            </w:rPr>
            <w:fldChar w:fldCharType="begin"/>
          </w:r>
          <w:r>
            <w:rPr>
              <w:sz w:val="28"/>
              <w:szCs w:val="28"/>
            </w:rPr>
            <w:instrText xml:space="preserve"> PAGEREF _Toc28259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12"/>
            <w:tabs>
              <w:tab w:val="right" w:leader="dot" w:pos="8306"/>
            </w:tabs>
            <w:rPr>
              <w:sz w:val="28"/>
              <w:szCs w:val="28"/>
            </w:rPr>
          </w:pPr>
          <w:r>
            <w:fldChar w:fldCharType="begin"/>
          </w:r>
          <w:r>
            <w:instrText xml:space="preserve"> HYPERLINK \l "_Toc4187" </w:instrText>
          </w:r>
          <w:r>
            <w:fldChar w:fldCharType="separate"/>
          </w:r>
          <w:r>
            <w:rPr>
              <w:rFonts w:hint="eastAsia" w:ascii="仿宋_GB2312" w:hAnsi="仿宋_GB2312" w:eastAsia="仿宋_GB2312" w:cs="仿宋_GB2312"/>
              <w:sz w:val="28"/>
              <w:szCs w:val="28"/>
            </w:rPr>
            <w:t>（五）协同推进标准化服务快速发展</w:t>
          </w:r>
          <w:r>
            <w:rPr>
              <w:sz w:val="28"/>
              <w:szCs w:val="28"/>
            </w:rPr>
            <w:tab/>
          </w:r>
          <w:r>
            <w:rPr>
              <w:sz w:val="28"/>
              <w:szCs w:val="28"/>
            </w:rPr>
            <w:fldChar w:fldCharType="begin"/>
          </w:r>
          <w:r>
            <w:rPr>
              <w:sz w:val="28"/>
              <w:szCs w:val="28"/>
            </w:rPr>
            <w:instrText xml:space="preserve"> PAGEREF _Toc4187 \h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12"/>
            <w:tabs>
              <w:tab w:val="right" w:leader="dot" w:pos="8306"/>
            </w:tabs>
            <w:rPr>
              <w:sz w:val="28"/>
              <w:szCs w:val="28"/>
            </w:rPr>
          </w:pPr>
          <w:r>
            <w:fldChar w:fldCharType="begin"/>
          </w:r>
          <w:r>
            <w:instrText xml:space="preserve"> HYPERLINK \l "_Toc8011" </w:instrText>
          </w:r>
          <w:r>
            <w:fldChar w:fldCharType="separate"/>
          </w:r>
          <w:r>
            <w:rPr>
              <w:rFonts w:hint="eastAsia" w:ascii="仿宋_GB2312" w:hAnsi="仿宋_GB2312" w:eastAsia="仿宋_GB2312" w:cs="仿宋_GB2312"/>
              <w:sz w:val="28"/>
              <w:szCs w:val="28"/>
            </w:rPr>
            <w:t>（六）全面提升</w:t>
          </w:r>
          <w:r>
            <w:rPr>
              <w:rFonts w:hint="eastAsia" w:ascii="仿宋" w:hAnsi="仿宋" w:eastAsia="仿宋_GB2312" w:cs="宋体"/>
              <w:kern w:val="0"/>
              <w:sz w:val="28"/>
              <w:szCs w:val="28"/>
            </w:rPr>
            <w:t>航空运营服务水平</w:t>
          </w:r>
          <w:r>
            <w:rPr>
              <w:sz w:val="28"/>
              <w:szCs w:val="28"/>
            </w:rPr>
            <w:tab/>
          </w:r>
          <w:r>
            <w:rPr>
              <w:sz w:val="28"/>
              <w:szCs w:val="28"/>
            </w:rPr>
            <w:fldChar w:fldCharType="begin"/>
          </w:r>
          <w:r>
            <w:rPr>
              <w:sz w:val="28"/>
              <w:szCs w:val="28"/>
            </w:rPr>
            <w:instrText xml:space="preserve"> PAGEREF _Toc8011 \h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"_Toc28325" </w:instrText>
          </w:r>
          <w:r>
            <w:fldChar w:fldCharType="separate"/>
          </w:r>
          <w:r>
            <w:rPr>
              <w:rFonts w:hint="eastAsia" w:ascii="黑体" w:hAnsi="黑体" w:eastAsia="黑体"/>
              <w:sz w:val="28"/>
              <w:szCs w:val="28"/>
            </w:rPr>
            <w:t>四、重点工程</w:t>
          </w:r>
          <w:r>
            <w:rPr>
              <w:sz w:val="28"/>
              <w:szCs w:val="28"/>
            </w:rPr>
            <w:tab/>
          </w:r>
          <w:r>
            <w:rPr>
              <w:sz w:val="28"/>
              <w:szCs w:val="28"/>
            </w:rPr>
            <w:fldChar w:fldCharType="begin"/>
          </w:r>
          <w:r>
            <w:rPr>
              <w:sz w:val="28"/>
              <w:szCs w:val="28"/>
            </w:rPr>
            <w:instrText xml:space="preserve"> PAGEREF _Toc28325 \h </w:instrText>
          </w:r>
          <w:r>
            <w:rPr>
              <w:sz w:val="28"/>
              <w:szCs w:val="28"/>
            </w:rPr>
            <w:fldChar w:fldCharType="separate"/>
          </w:r>
          <w:r>
            <w:rPr>
              <w:sz w:val="28"/>
              <w:szCs w:val="28"/>
            </w:rPr>
            <w:t>41</w:t>
          </w:r>
          <w:r>
            <w:rPr>
              <w:sz w:val="28"/>
              <w:szCs w:val="28"/>
            </w:rPr>
            <w:fldChar w:fldCharType="end"/>
          </w:r>
          <w:r>
            <w:rPr>
              <w:sz w:val="28"/>
              <w:szCs w:val="28"/>
            </w:rPr>
            <w:fldChar w:fldCharType="end"/>
          </w:r>
        </w:p>
        <w:p>
          <w:pPr>
            <w:pStyle w:val="12"/>
            <w:tabs>
              <w:tab w:val="right" w:leader="dot" w:pos="8306"/>
            </w:tabs>
            <w:rPr>
              <w:sz w:val="28"/>
              <w:szCs w:val="28"/>
            </w:rPr>
          </w:pPr>
          <w:r>
            <w:fldChar w:fldCharType="begin"/>
          </w:r>
          <w:r>
            <w:instrText xml:space="preserve"> HYPERLINK \l "_Toc15364" </w:instrText>
          </w:r>
          <w:r>
            <w:fldChar w:fldCharType="separate"/>
          </w:r>
          <w:r>
            <w:rPr>
              <w:rFonts w:hint="eastAsia" w:ascii="仿宋_GB2312" w:hAnsi="仿宋_GB2312" w:eastAsia="仿宋_GB2312" w:cs="仿宋_GB2312"/>
              <w:sz w:val="28"/>
              <w:szCs w:val="28"/>
            </w:rPr>
            <w:t>（一）大力实施双创提升工程，推动专业化规模化发展</w:t>
          </w:r>
          <w:r>
            <w:rPr>
              <w:sz w:val="28"/>
              <w:szCs w:val="28"/>
            </w:rPr>
            <w:tab/>
          </w:r>
          <w:r>
            <w:rPr>
              <w:sz w:val="28"/>
              <w:szCs w:val="28"/>
            </w:rPr>
            <w:fldChar w:fldCharType="begin"/>
          </w:r>
          <w:r>
            <w:rPr>
              <w:sz w:val="28"/>
              <w:szCs w:val="28"/>
            </w:rPr>
            <w:instrText xml:space="preserve"> PAGEREF _Toc15364 \h </w:instrText>
          </w:r>
          <w:r>
            <w:rPr>
              <w:sz w:val="28"/>
              <w:szCs w:val="28"/>
            </w:rPr>
            <w:fldChar w:fldCharType="separate"/>
          </w:r>
          <w:r>
            <w:rPr>
              <w:sz w:val="28"/>
              <w:szCs w:val="28"/>
            </w:rPr>
            <w:t>41</w:t>
          </w:r>
          <w:r>
            <w:rPr>
              <w:sz w:val="28"/>
              <w:szCs w:val="28"/>
            </w:rPr>
            <w:fldChar w:fldCharType="end"/>
          </w:r>
          <w:r>
            <w:rPr>
              <w:sz w:val="28"/>
              <w:szCs w:val="28"/>
            </w:rPr>
            <w:fldChar w:fldCharType="end"/>
          </w:r>
        </w:p>
        <w:p>
          <w:pPr>
            <w:pStyle w:val="12"/>
            <w:tabs>
              <w:tab w:val="right" w:leader="dot" w:pos="8306"/>
            </w:tabs>
            <w:rPr>
              <w:sz w:val="28"/>
              <w:szCs w:val="28"/>
            </w:rPr>
          </w:pPr>
          <w:r>
            <w:fldChar w:fldCharType="begin"/>
          </w:r>
          <w:r>
            <w:instrText xml:space="preserve"> HYPERLINK \l "_Toc20941" </w:instrText>
          </w:r>
          <w:r>
            <w:fldChar w:fldCharType="separate"/>
          </w:r>
          <w:r>
            <w:rPr>
              <w:rFonts w:hint="eastAsia" w:ascii="仿宋_GB2312" w:hAnsi="仿宋_GB2312" w:eastAsia="仿宋_GB2312" w:cs="仿宋_GB2312"/>
              <w:sz w:val="28"/>
              <w:szCs w:val="28"/>
            </w:rPr>
            <w:t>（二）扎实推进科技金融工程，着力增强产业创新活力</w:t>
          </w:r>
          <w:r>
            <w:rPr>
              <w:sz w:val="28"/>
              <w:szCs w:val="28"/>
            </w:rPr>
            <w:tab/>
          </w:r>
          <w:r>
            <w:rPr>
              <w:sz w:val="28"/>
              <w:szCs w:val="28"/>
            </w:rPr>
            <w:fldChar w:fldCharType="begin"/>
          </w:r>
          <w:r>
            <w:rPr>
              <w:sz w:val="28"/>
              <w:szCs w:val="28"/>
            </w:rPr>
            <w:instrText xml:space="preserve"> PAGEREF _Toc20941 \h </w:instrText>
          </w:r>
          <w:r>
            <w:rPr>
              <w:sz w:val="28"/>
              <w:szCs w:val="28"/>
            </w:rPr>
            <w:fldChar w:fldCharType="separate"/>
          </w:r>
          <w:r>
            <w:rPr>
              <w:sz w:val="28"/>
              <w:szCs w:val="28"/>
            </w:rPr>
            <w:t>42</w:t>
          </w:r>
          <w:r>
            <w:rPr>
              <w:sz w:val="28"/>
              <w:szCs w:val="28"/>
            </w:rPr>
            <w:fldChar w:fldCharType="end"/>
          </w:r>
          <w:r>
            <w:rPr>
              <w:sz w:val="28"/>
              <w:szCs w:val="28"/>
            </w:rPr>
            <w:fldChar w:fldCharType="end"/>
          </w:r>
        </w:p>
        <w:p>
          <w:pPr>
            <w:pStyle w:val="12"/>
            <w:tabs>
              <w:tab w:val="right" w:leader="dot" w:pos="8306"/>
            </w:tabs>
            <w:rPr>
              <w:sz w:val="28"/>
              <w:szCs w:val="28"/>
            </w:rPr>
          </w:pPr>
          <w:r>
            <w:fldChar w:fldCharType="begin"/>
          </w:r>
          <w:r>
            <w:instrText xml:space="preserve"> HYPERLINK \l "_Toc17970" </w:instrText>
          </w:r>
          <w:r>
            <w:fldChar w:fldCharType="separate"/>
          </w:r>
          <w:r>
            <w:rPr>
              <w:rFonts w:hint="eastAsia" w:ascii="仿宋_GB2312" w:hAnsi="仿宋_GB2312" w:eastAsia="仿宋_GB2312" w:cs="仿宋_GB2312"/>
              <w:sz w:val="28"/>
              <w:szCs w:val="28"/>
            </w:rPr>
            <w:t>（三）精心组织人才引育工程，助推产业高质量发展</w:t>
          </w:r>
          <w:r>
            <w:rPr>
              <w:sz w:val="28"/>
              <w:szCs w:val="28"/>
            </w:rPr>
            <w:tab/>
          </w:r>
          <w:r>
            <w:rPr>
              <w:sz w:val="28"/>
              <w:szCs w:val="28"/>
            </w:rPr>
            <w:fldChar w:fldCharType="begin"/>
          </w:r>
          <w:r>
            <w:rPr>
              <w:sz w:val="28"/>
              <w:szCs w:val="28"/>
            </w:rPr>
            <w:instrText xml:space="preserve"> PAGEREF _Toc17970 \h </w:instrText>
          </w:r>
          <w:r>
            <w:rPr>
              <w:sz w:val="28"/>
              <w:szCs w:val="28"/>
            </w:rPr>
            <w:fldChar w:fldCharType="separate"/>
          </w:r>
          <w:r>
            <w:rPr>
              <w:sz w:val="28"/>
              <w:szCs w:val="28"/>
            </w:rPr>
            <w:t>43</w:t>
          </w:r>
          <w:r>
            <w:rPr>
              <w:sz w:val="28"/>
              <w:szCs w:val="28"/>
            </w:rPr>
            <w:fldChar w:fldCharType="end"/>
          </w:r>
          <w:r>
            <w:rPr>
              <w:sz w:val="28"/>
              <w:szCs w:val="28"/>
            </w:rPr>
            <w:fldChar w:fldCharType="end"/>
          </w:r>
        </w:p>
        <w:p>
          <w:pPr>
            <w:pStyle w:val="12"/>
            <w:tabs>
              <w:tab w:val="right" w:leader="dot" w:pos="8306"/>
            </w:tabs>
            <w:rPr>
              <w:sz w:val="28"/>
              <w:szCs w:val="28"/>
            </w:rPr>
          </w:pPr>
          <w:r>
            <w:fldChar w:fldCharType="begin"/>
          </w:r>
          <w:r>
            <w:instrText xml:space="preserve"> HYPERLINK \l "_Toc31089" </w:instrText>
          </w:r>
          <w:r>
            <w:fldChar w:fldCharType="separate"/>
          </w:r>
          <w:r>
            <w:rPr>
              <w:rFonts w:hint="eastAsia" w:ascii="仿宋_GB2312" w:hAnsi="仿宋_GB2312" w:eastAsia="仿宋_GB2312" w:cs="仿宋_GB2312"/>
              <w:sz w:val="28"/>
              <w:szCs w:val="28"/>
            </w:rPr>
            <w:t>（四）着力推动</w:t>
          </w:r>
          <w:r>
            <w:rPr>
              <w:rFonts w:hint="eastAsia" w:ascii="仿宋" w:hAnsi="仿宋" w:eastAsia="仿宋_GB2312" w:cs="宋体"/>
              <w:kern w:val="0"/>
              <w:sz w:val="28"/>
              <w:szCs w:val="28"/>
            </w:rPr>
            <w:t>创新引领工程，加快形成产业发展新动能</w:t>
          </w:r>
          <w:r>
            <w:rPr>
              <w:sz w:val="28"/>
              <w:szCs w:val="28"/>
            </w:rPr>
            <w:tab/>
          </w:r>
          <w:r>
            <w:rPr>
              <w:sz w:val="28"/>
              <w:szCs w:val="28"/>
            </w:rPr>
            <w:fldChar w:fldCharType="begin"/>
          </w:r>
          <w:r>
            <w:rPr>
              <w:sz w:val="28"/>
              <w:szCs w:val="28"/>
            </w:rPr>
            <w:instrText xml:space="preserve"> PAGEREF _Toc31089 \h </w:instrText>
          </w:r>
          <w:r>
            <w:rPr>
              <w:sz w:val="28"/>
              <w:szCs w:val="28"/>
            </w:rPr>
            <w:fldChar w:fldCharType="separate"/>
          </w:r>
          <w:r>
            <w:rPr>
              <w:sz w:val="28"/>
              <w:szCs w:val="28"/>
            </w:rPr>
            <w:t>45</w:t>
          </w:r>
          <w:r>
            <w:rPr>
              <w:sz w:val="28"/>
              <w:szCs w:val="28"/>
            </w:rPr>
            <w:fldChar w:fldCharType="end"/>
          </w:r>
          <w:r>
            <w:rPr>
              <w:sz w:val="28"/>
              <w:szCs w:val="28"/>
            </w:rPr>
            <w:fldChar w:fldCharType="end"/>
          </w:r>
        </w:p>
        <w:p>
          <w:pPr>
            <w:pStyle w:val="12"/>
            <w:tabs>
              <w:tab w:val="right" w:leader="dot" w:pos="8306"/>
            </w:tabs>
            <w:rPr>
              <w:sz w:val="28"/>
              <w:szCs w:val="28"/>
            </w:rPr>
          </w:pPr>
          <w:r>
            <w:fldChar w:fldCharType="begin"/>
          </w:r>
          <w:r>
            <w:instrText xml:space="preserve"> HYPERLINK \l "_Toc22874" </w:instrText>
          </w:r>
          <w:r>
            <w:fldChar w:fldCharType="separate"/>
          </w:r>
          <w:r>
            <w:rPr>
              <w:rFonts w:hint="eastAsia" w:ascii="仿宋_GB2312" w:hAnsi="仿宋_GB2312" w:eastAsia="仿宋_GB2312" w:cs="仿宋_GB2312"/>
              <w:sz w:val="28"/>
              <w:szCs w:val="28"/>
            </w:rPr>
            <w:t>（五）加快实施数字赋能工程，培育发展新业态新模式</w:t>
          </w:r>
          <w:r>
            <w:rPr>
              <w:sz w:val="28"/>
              <w:szCs w:val="28"/>
            </w:rPr>
            <w:tab/>
          </w:r>
          <w:r>
            <w:rPr>
              <w:sz w:val="28"/>
              <w:szCs w:val="28"/>
            </w:rPr>
            <w:fldChar w:fldCharType="begin"/>
          </w:r>
          <w:r>
            <w:rPr>
              <w:sz w:val="28"/>
              <w:szCs w:val="28"/>
            </w:rPr>
            <w:instrText xml:space="preserve"> PAGEREF _Toc22874 \h </w:instrText>
          </w:r>
          <w:r>
            <w:rPr>
              <w:sz w:val="28"/>
              <w:szCs w:val="28"/>
            </w:rPr>
            <w:fldChar w:fldCharType="separate"/>
          </w:r>
          <w:r>
            <w:rPr>
              <w:sz w:val="28"/>
              <w:szCs w:val="28"/>
            </w:rPr>
            <w:t>47</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"_Toc3039" </w:instrText>
          </w:r>
          <w:r>
            <w:fldChar w:fldCharType="separate"/>
          </w:r>
          <w:r>
            <w:rPr>
              <w:rFonts w:hint="eastAsia" w:ascii="黑体" w:hAnsi="黑体" w:eastAsia="黑体"/>
              <w:sz w:val="28"/>
              <w:szCs w:val="28"/>
            </w:rPr>
            <w:t>五、保障措施</w:t>
          </w:r>
          <w:r>
            <w:rPr>
              <w:sz w:val="28"/>
              <w:szCs w:val="28"/>
            </w:rPr>
            <w:tab/>
          </w:r>
          <w:r>
            <w:rPr>
              <w:sz w:val="28"/>
              <w:szCs w:val="28"/>
            </w:rPr>
            <w:fldChar w:fldCharType="begin"/>
          </w:r>
          <w:r>
            <w:rPr>
              <w:sz w:val="28"/>
              <w:szCs w:val="28"/>
            </w:rPr>
            <w:instrText xml:space="preserve"> PAGEREF _Toc3039 \h </w:instrText>
          </w:r>
          <w:r>
            <w:rPr>
              <w:sz w:val="28"/>
              <w:szCs w:val="28"/>
            </w:rPr>
            <w:fldChar w:fldCharType="separate"/>
          </w:r>
          <w:r>
            <w:rPr>
              <w:sz w:val="28"/>
              <w:szCs w:val="28"/>
            </w:rPr>
            <w:t>48</w:t>
          </w:r>
          <w:r>
            <w:rPr>
              <w:sz w:val="28"/>
              <w:szCs w:val="28"/>
            </w:rPr>
            <w:fldChar w:fldCharType="end"/>
          </w:r>
          <w:r>
            <w:rPr>
              <w:sz w:val="28"/>
              <w:szCs w:val="28"/>
            </w:rPr>
            <w:fldChar w:fldCharType="end"/>
          </w:r>
        </w:p>
        <w:p>
          <w:pPr>
            <w:pStyle w:val="12"/>
            <w:tabs>
              <w:tab w:val="right" w:leader="dot" w:pos="8306"/>
            </w:tabs>
            <w:rPr>
              <w:sz w:val="28"/>
              <w:szCs w:val="28"/>
            </w:rPr>
          </w:pPr>
          <w:r>
            <w:fldChar w:fldCharType="begin"/>
          </w:r>
          <w:r>
            <w:instrText xml:space="preserve"> HYPERLINK \l "_Toc7" </w:instrText>
          </w:r>
          <w:r>
            <w:fldChar w:fldCharType="separate"/>
          </w:r>
          <w:r>
            <w:rPr>
              <w:rFonts w:hint="eastAsia" w:ascii="仿宋_GB2312" w:hAnsi="仿宋_GB2312" w:eastAsia="仿宋_GB2312" w:cs="仿宋_GB2312"/>
              <w:sz w:val="28"/>
              <w:szCs w:val="28"/>
            </w:rPr>
            <w:t>（一）健全组织保障</w:t>
          </w:r>
          <w:r>
            <w:rPr>
              <w:sz w:val="28"/>
              <w:szCs w:val="28"/>
            </w:rPr>
            <w:tab/>
          </w:r>
          <w:r>
            <w:rPr>
              <w:sz w:val="28"/>
              <w:szCs w:val="28"/>
            </w:rPr>
            <w:fldChar w:fldCharType="begin"/>
          </w:r>
          <w:r>
            <w:rPr>
              <w:sz w:val="28"/>
              <w:szCs w:val="28"/>
            </w:rPr>
            <w:instrText xml:space="preserve"> PAGEREF _Toc7 \h </w:instrText>
          </w:r>
          <w:r>
            <w:rPr>
              <w:sz w:val="28"/>
              <w:szCs w:val="28"/>
            </w:rPr>
            <w:fldChar w:fldCharType="separate"/>
          </w:r>
          <w:r>
            <w:rPr>
              <w:sz w:val="28"/>
              <w:szCs w:val="28"/>
            </w:rPr>
            <w:t>48</w:t>
          </w:r>
          <w:r>
            <w:rPr>
              <w:sz w:val="28"/>
              <w:szCs w:val="28"/>
            </w:rPr>
            <w:fldChar w:fldCharType="end"/>
          </w:r>
          <w:r>
            <w:rPr>
              <w:sz w:val="28"/>
              <w:szCs w:val="28"/>
            </w:rPr>
            <w:fldChar w:fldCharType="end"/>
          </w:r>
        </w:p>
        <w:p>
          <w:pPr>
            <w:pStyle w:val="12"/>
            <w:tabs>
              <w:tab w:val="right" w:leader="dot" w:pos="8306"/>
            </w:tabs>
            <w:rPr>
              <w:sz w:val="28"/>
              <w:szCs w:val="28"/>
            </w:rPr>
          </w:pPr>
          <w:r>
            <w:fldChar w:fldCharType="begin"/>
          </w:r>
          <w:r>
            <w:instrText xml:space="preserve"> HYPERLINK \l "_Toc14619" </w:instrText>
          </w:r>
          <w:r>
            <w:fldChar w:fldCharType="separate"/>
          </w:r>
          <w:r>
            <w:rPr>
              <w:rFonts w:hint="eastAsia" w:ascii="仿宋_GB2312" w:hAnsi="仿宋_GB2312" w:eastAsia="仿宋_GB2312" w:cs="仿宋_GB2312"/>
              <w:sz w:val="28"/>
              <w:szCs w:val="28"/>
            </w:rPr>
            <w:t>（二）强化资金支持</w:t>
          </w:r>
          <w:r>
            <w:rPr>
              <w:sz w:val="28"/>
              <w:szCs w:val="28"/>
            </w:rPr>
            <w:tab/>
          </w:r>
          <w:r>
            <w:rPr>
              <w:sz w:val="28"/>
              <w:szCs w:val="28"/>
            </w:rPr>
            <w:fldChar w:fldCharType="begin"/>
          </w:r>
          <w:r>
            <w:rPr>
              <w:sz w:val="28"/>
              <w:szCs w:val="28"/>
            </w:rPr>
            <w:instrText xml:space="preserve"> PAGEREF _Toc14619 \h </w:instrText>
          </w:r>
          <w:r>
            <w:rPr>
              <w:sz w:val="28"/>
              <w:szCs w:val="28"/>
            </w:rPr>
            <w:fldChar w:fldCharType="separate"/>
          </w:r>
          <w:r>
            <w:rPr>
              <w:sz w:val="28"/>
              <w:szCs w:val="28"/>
            </w:rPr>
            <w:t>49</w:t>
          </w:r>
          <w:r>
            <w:rPr>
              <w:sz w:val="28"/>
              <w:szCs w:val="28"/>
            </w:rPr>
            <w:fldChar w:fldCharType="end"/>
          </w:r>
          <w:r>
            <w:rPr>
              <w:sz w:val="28"/>
              <w:szCs w:val="28"/>
            </w:rPr>
            <w:fldChar w:fldCharType="end"/>
          </w:r>
        </w:p>
        <w:p>
          <w:pPr>
            <w:pStyle w:val="12"/>
            <w:tabs>
              <w:tab w:val="right" w:leader="dot" w:pos="8306"/>
            </w:tabs>
            <w:rPr>
              <w:sz w:val="28"/>
              <w:szCs w:val="28"/>
            </w:rPr>
          </w:pPr>
          <w:r>
            <w:fldChar w:fldCharType="begin"/>
          </w:r>
          <w:r>
            <w:instrText xml:space="preserve"> HYPERLINK \l "_Toc25384" </w:instrText>
          </w:r>
          <w:r>
            <w:fldChar w:fldCharType="separate"/>
          </w:r>
          <w:r>
            <w:rPr>
              <w:rFonts w:hint="eastAsia" w:ascii="仿宋_GB2312" w:hAnsi="仿宋_GB2312" w:eastAsia="仿宋_GB2312" w:cs="仿宋_GB2312"/>
              <w:sz w:val="28"/>
              <w:szCs w:val="28"/>
            </w:rPr>
            <w:t>（三）深化开放合作</w:t>
          </w:r>
          <w:r>
            <w:rPr>
              <w:sz w:val="28"/>
              <w:szCs w:val="28"/>
            </w:rPr>
            <w:tab/>
          </w:r>
          <w:r>
            <w:rPr>
              <w:sz w:val="28"/>
              <w:szCs w:val="28"/>
            </w:rPr>
            <w:fldChar w:fldCharType="begin"/>
          </w:r>
          <w:r>
            <w:rPr>
              <w:sz w:val="28"/>
              <w:szCs w:val="28"/>
            </w:rPr>
            <w:instrText xml:space="preserve"> PAGEREF _Toc25384 \h </w:instrText>
          </w:r>
          <w:r>
            <w:rPr>
              <w:sz w:val="28"/>
              <w:szCs w:val="28"/>
            </w:rPr>
            <w:fldChar w:fldCharType="separate"/>
          </w:r>
          <w:r>
            <w:rPr>
              <w:sz w:val="28"/>
              <w:szCs w:val="28"/>
            </w:rPr>
            <w:t>49</w:t>
          </w:r>
          <w:r>
            <w:rPr>
              <w:sz w:val="28"/>
              <w:szCs w:val="28"/>
            </w:rPr>
            <w:fldChar w:fldCharType="end"/>
          </w:r>
          <w:r>
            <w:rPr>
              <w:sz w:val="28"/>
              <w:szCs w:val="28"/>
            </w:rPr>
            <w:fldChar w:fldCharType="end"/>
          </w:r>
        </w:p>
        <w:p>
          <w:pPr>
            <w:pStyle w:val="12"/>
            <w:tabs>
              <w:tab w:val="right" w:leader="dot" w:pos="8306"/>
            </w:tabs>
            <w:rPr>
              <w:sz w:val="28"/>
              <w:szCs w:val="28"/>
            </w:rPr>
          </w:pPr>
          <w:r>
            <w:fldChar w:fldCharType="begin"/>
          </w:r>
          <w:r>
            <w:instrText xml:space="preserve"> HYPERLINK \l "_Toc25428" </w:instrText>
          </w:r>
          <w:r>
            <w:fldChar w:fldCharType="separate"/>
          </w:r>
          <w:r>
            <w:rPr>
              <w:rFonts w:hint="eastAsia" w:ascii="仿宋_GB2312" w:hAnsi="仿宋_GB2312" w:eastAsia="仿宋_GB2312" w:cs="仿宋_GB2312"/>
              <w:sz w:val="28"/>
              <w:szCs w:val="28"/>
            </w:rPr>
            <w:t>（四）完善评估制度</w:t>
          </w:r>
          <w:r>
            <w:rPr>
              <w:sz w:val="28"/>
              <w:szCs w:val="28"/>
            </w:rPr>
            <w:tab/>
          </w:r>
          <w:r>
            <w:rPr>
              <w:sz w:val="28"/>
              <w:szCs w:val="28"/>
            </w:rPr>
            <w:fldChar w:fldCharType="begin"/>
          </w:r>
          <w:r>
            <w:rPr>
              <w:sz w:val="28"/>
              <w:szCs w:val="28"/>
            </w:rPr>
            <w:instrText xml:space="preserve"> PAGEREF _Toc25428 \h </w:instrText>
          </w:r>
          <w:r>
            <w:rPr>
              <w:sz w:val="28"/>
              <w:szCs w:val="28"/>
            </w:rPr>
            <w:fldChar w:fldCharType="separate"/>
          </w:r>
          <w:r>
            <w:rPr>
              <w:sz w:val="28"/>
              <w:szCs w:val="28"/>
            </w:rPr>
            <w:t>50</w:t>
          </w:r>
          <w:r>
            <w:rPr>
              <w:sz w:val="28"/>
              <w:szCs w:val="28"/>
            </w:rPr>
            <w:fldChar w:fldCharType="end"/>
          </w:r>
          <w:r>
            <w:rPr>
              <w:sz w:val="28"/>
              <w:szCs w:val="28"/>
            </w:rPr>
            <w:fldChar w:fldCharType="end"/>
          </w:r>
        </w:p>
        <w:p>
          <w:pPr>
            <w:rPr>
              <w:b/>
              <w:bCs/>
              <w:sz w:val="28"/>
              <w:szCs w:val="28"/>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hint="eastAsia" w:ascii="楷体" w:hAnsi="楷体" w:eastAsia="楷体" w:cs="楷体"/>
              <w:color w:val="000000" w:themeColor="text1"/>
              <w:kern w:val="0"/>
              <w:sz w:val="28"/>
              <w:szCs w:val="28"/>
              <w14:textFill>
                <w14:solidFill>
                  <w14:schemeClr w14:val="tx1"/>
                </w14:solidFill>
              </w14:textFill>
            </w:rPr>
            <w:fldChar w:fldCharType="end"/>
          </w:r>
        </w:p>
      </w:sdtContent>
    </w:sdt>
    <w:p>
      <w:pPr>
        <w:pStyle w:val="2"/>
        <w:spacing w:before="120" w:after="240" w:line="360" w:lineRule="auto"/>
        <w:jc w:val="center"/>
        <w:rPr>
          <w:rStyle w:val="19"/>
          <w:rFonts w:ascii="黑体" w:hAnsi="黑体" w:eastAsia="黑体"/>
          <w:b w:val="0"/>
          <w:bCs/>
          <w:sz w:val="32"/>
          <w:szCs w:val="32"/>
          <w:shd w:val="clear" w:color="auto" w:fill="FFFFFF"/>
        </w:rPr>
      </w:pPr>
      <w:bookmarkStart w:id="24" w:name="_Toc25747"/>
      <w:bookmarkStart w:id="25" w:name="_Toc75167533"/>
      <w:bookmarkStart w:id="26" w:name="_Toc21490"/>
      <w:bookmarkStart w:id="27" w:name="_Toc32713"/>
      <w:r>
        <w:rPr>
          <w:rStyle w:val="19"/>
          <w:rFonts w:hint="eastAsia" w:ascii="黑体" w:hAnsi="黑体" w:eastAsia="黑体"/>
          <w:b w:val="0"/>
          <w:bCs/>
          <w:sz w:val="32"/>
          <w:szCs w:val="32"/>
          <w:shd w:val="clear" w:color="auto" w:fill="FFFFFF"/>
        </w:rPr>
        <w:t>前  言</w:t>
      </w:r>
      <w:bookmarkEnd w:id="24"/>
      <w:bookmarkEnd w:id="25"/>
      <w:bookmarkEnd w:id="26"/>
      <w:bookmarkEnd w:id="27"/>
    </w:p>
    <w:p>
      <w:pPr>
        <w:pStyle w:val="23"/>
      </w:pPr>
    </w:p>
    <w:p>
      <w:pPr>
        <w:ind w:firstLine="640" w:firstLineChars="200"/>
        <w:rPr>
          <w:rFonts w:ascii="仿宋_GB2312" w:eastAsia="仿宋_GB2312"/>
          <w:sz w:val="32"/>
          <w:szCs w:val="32"/>
        </w:rPr>
      </w:pPr>
      <w:r>
        <w:rPr>
          <w:rFonts w:hint="eastAsia" w:ascii="仿宋_GB2312" w:eastAsia="仿宋_GB2312"/>
          <w:sz w:val="32"/>
          <w:szCs w:val="32"/>
        </w:rPr>
        <w:t>战略性新兴产业相关服务业是战略性新兴产业技术发展而伴随产生的新兴服务业态，主要采用现代化的新技术、新业态和新服务方式，向战略性新兴产业提供高附加值、高层次、知识型的生产服务业。2017年2月，国家发展改革委公布《战略性新兴产业重点产品和服务指导目录》首次列入了相关服务业。2018年10月，国家统计局发布《战略性新兴产业分类（2018）》，明确了相关服务业</w:t>
      </w:r>
      <w:r>
        <w:rPr>
          <w:rFonts w:ascii="仿宋_GB2312" w:eastAsia="仿宋_GB2312"/>
          <w:sz w:val="32"/>
          <w:szCs w:val="32"/>
        </w:rPr>
        <w:t>产业类别</w:t>
      </w:r>
      <w:r>
        <w:rPr>
          <w:rFonts w:hint="eastAsia" w:ascii="仿宋_GB2312" w:eastAsia="仿宋_GB2312"/>
          <w:sz w:val="32"/>
          <w:szCs w:val="32"/>
        </w:rPr>
        <w:t>、</w:t>
      </w:r>
      <w:r>
        <w:rPr>
          <w:rFonts w:ascii="仿宋_GB2312" w:eastAsia="仿宋_GB2312"/>
          <w:sz w:val="32"/>
          <w:szCs w:val="32"/>
        </w:rPr>
        <w:t>产品和服务</w:t>
      </w:r>
      <w:r>
        <w:rPr>
          <w:rFonts w:hint="eastAsia" w:ascii="仿宋_GB2312" w:eastAsia="仿宋_GB2312"/>
          <w:sz w:val="32"/>
          <w:szCs w:val="32"/>
        </w:rPr>
        <w:t>，主要包括新技术与创新创业服务（研发服务、检验检测认证服务、标准化服务、其他专业技术服务、知识产权及相关服务、创新创业服务、其他技术推广服务）、其他相关服务（航空运营及支持服务、现代金融服务）。</w:t>
      </w:r>
    </w:p>
    <w:p>
      <w:pPr>
        <w:ind w:firstLine="640" w:firstLineChars="200"/>
        <w:rPr>
          <w:rFonts w:ascii="仿宋_GB2312" w:eastAsia="仿宋_GB2312"/>
          <w:sz w:val="32"/>
          <w:szCs w:val="32"/>
        </w:rPr>
      </w:pPr>
      <w:r>
        <w:rPr>
          <w:rFonts w:hint="eastAsia" w:ascii="仿宋_GB2312" w:eastAsia="仿宋_GB2312"/>
          <w:sz w:val="32"/>
          <w:szCs w:val="32"/>
        </w:rPr>
        <w:t>相关服务业是推动战略性新兴产业高质量发展的重要支撑，是郑州市实施创新驱动发展战略、促进产业结构优化升级、实现“两化五强”建设目标的重要组成。加快培育发展战略性新兴产业相关服务业，对于郑州市抢抓新一轮科技革命和产业变革机遇，加快国家中心城市建设，打造经济社会可持续发展新引擎，努力实现全面建设</w:t>
      </w:r>
      <w:r>
        <w:rPr>
          <w:rFonts w:hint="eastAsia" w:ascii="仿宋_GB2312" w:eastAsia="仿宋_GB2312"/>
          <w:sz w:val="32"/>
          <w:szCs w:val="32"/>
          <w:lang w:eastAsia="zh-CN"/>
        </w:rPr>
        <w:t>社会主义</w:t>
      </w:r>
      <w:r>
        <w:rPr>
          <w:rFonts w:hint="eastAsia" w:ascii="仿宋_GB2312" w:eastAsia="仿宋_GB2312"/>
          <w:sz w:val="32"/>
          <w:szCs w:val="32"/>
        </w:rPr>
        <w:t>现代化强国的新征程目标，具有重要支撑和带动作用。</w:t>
      </w:r>
    </w:p>
    <w:p>
      <w:pPr>
        <w:ind w:firstLine="640" w:firstLineChars="200"/>
        <w:rPr>
          <w:rFonts w:ascii="仿宋_GB2312" w:eastAsia="仿宋_GB2312"/>
          <w:sz w:val="32"/>
          <w:szCs w:val="32"/>
        </w:rPr>
      </w:pPr>
      <w:r>
        <w:rPr>
          <w:rFonts w:hint="eastAsia" w:ascii="仿宋_GB2312" w:eastAsia="仿宋_GB2312"/>
          <w:sz w:val="32"/>
          <w:szCs w:val="32"/>
        </w:rPr>
        <w:t>为推动战略性新兴产业相关服务业发展壮大，根据郑州市经济社会发展实际和相关服务业产业基础，以</w:t>
      </w:r>
      <w:r>
        <w:rPr>
          <w:rFonts w:hint="eastAsia" w:ascii="仿宋" w:hAnsi="仿宋" w:eastAsia="仿宋_GB2312" w:cs="宋体"/>
          <w:bCs/>
          <w:color w:val="000000" w:themeColor="text1"/>
          <w:kern w:val="0"/>
          <w:sz w:val="32"/>
          <w:szCs w:val="32"/>
          <w14:textFill>
            <w14:solidFill>
              <w14:schemeClr w14:val="tx1"/>
            </w14:solidFill>
          </w14:textFill>
        </w:rPr>
        <w:t>创新创业服务、现代金融服务、研发及知识产权服务、检验检测认证服务、标准化服务、航空运营服务等六</w:t>
      </w:r>
      <w:r>
        <w:rPr>
          <w:rFonts w:hint="eastAsia" w:ascii="仿宋_GB2312" w:eastAsia="仿宋_GB2312"/>
          <w:sz w:val="32"/>
          <w:szCs w:val="32"/>
        </w:rPr>
        <w:t>大产业为发展重点，制定本规划。本规划主要阐明“十四五”时期郑州市战略性新兴产业相关服务业发展的总体思路、发展目标、发展重点等，是未来五年全市战略性新兴产业相关服务业发展的行动纲领。</w:t>
      </w:r>
    </w:p>
    <w:p>
      <w:pPr>
        <w:ind w:firstLine="640" w:firstLineChars="200"/>
        <w:rPr>
          <w:rFonts w:ascii="仿宋_GB2312" w:eastAsia="仿宋_GB2312"/>
          <w:sz w:val="32"/>
          <w:szCs w:val="32"/>
        </w:rPr>
      </w:pPr>
      <w:r>
        <w:rPr>
          <w:rFonts w:hint="eastAsia" w:ascii="仿宋_GB2312" w:eastAsia="仿宋_GB2312"/>
          <w:sz w:val="32"/>
          <w:szCs w:val="32"/>
        </w:rPr>
        <w:t>本规划期限为5年，自2021年至2025年。</w:t>
      </w:r>
    </w:p>
    <w:p>
      <w:pPr>
        <w:rPr>
          <w:rFonts w:ascii="仿宋_GB2312" w:hAnsi="仿宋" w:eastAsia="仿宋_GB2312" w:cs="宋体"/>
          <w:bCs/>
          <w:color w:val="000000" w:themeColor="text1"/>
          <w:kern w:val="0"/>
          <w:sz w:val="32"/>
          <w:szCs w:val="32"/>
          <w14:textFill>
            <w14:solidFill>
              <w14:schemeClr w14:val="tx1"/>
            </w14:solidFill>
          </w14:textFill>
        </w:rPr>
      </w:pPr>
    </w:p>
    <w:p>
      <w:pPr>
        <w:widowControl/>
        <w:jc w:val="left"/>
      </w:pPr>
      <w:r>
        <w:br w:type="page"/>
      </w:r>
    </w:p>
    <w:p/>
    <w:p>
      <w:pPr>
        <w:pStyle w:val="2"/>
        <w:snapToGrid w:val="0"/>
        <w:spacing w:before="0" w:after="0" w:line="360" w:lineRule="auto"/>
        <w:ind w:firstLine="640" w:firstLineChars="200"/>
        <w:rPr>
          <w:rFonts w:ascii="黑体" w:hAnsi="黑体" w:eastAsia="黑体"/>
          <w:b w:val="0"/>
          <w:color w:val="000000" w:themeColor="text1"/>
          <w:sz w:val="32"/>
          <w:szCs w:val="32"/>
          <w14:textFill>
            <w14:solidFill>
              <w14:schemeClr w14:val="tx1"/>
            </w14:solidFill>
          </w14:textFill>
        </w:rPr>
      </w:pPr>
      <w:bookmarkStart w:id="28" w:name="_Toc13473"/>
      <w:r>
        <w:rPr>
          <w:rFonts w:hint="eastAsia" w:ascii="黑体" w:hAnsi="黑体" w:eastAsia="黑体"/>
          <w:b w:val="0"/>
          <w:color w:val="000000" w:themeColor="text1"/>
          <w:sz w:val="32"/>
          <w:szCs w:val="32"/>
          <w14:textFill>
            <w14:solidFill>
              <w14:schemeClr w14:val="tx1"/>
            </w14:solidFill>
          </w14:textFill>
        </w:rPr>
        <w:t>一、产业现状与面临形势</w:t>
      </w:r>
      <w:bookmarkEnd w:id="28"/>
    </w:p>
    <w:p>
      <w:pPr>
        <w:pStyle w:val="3"/>
        <w:snapToGrid w:val="0"/>
        <w:spacing w:before="0" w:after="0" w:line="360" w:lineRule="auto"/>
        <w:ind w:firstLine="643" w:firstLineChars="200"/>
        <w:rPr>
          <w:rFonts w:ascii="仿宋_GB2312" w:hAnsi="仿宋_GB2312" w:eastAsia="仿宋_GB2312" w:cs="仿宋_GB2312"/>
          <w:color w:val="000000" w:themeColor="text1"/>
          <w14:textFill>
            <w14:solidFill>
              <w14:schemeClr w14:val="tx1"/>
            </w14:solidFill>
          </w14:textFill>
        </w:rPr>
      </w:pPr>
      <w:bookmarkStart w:id="29" w:name="_Toc26992"/>
      <w:r>
        <w:rPr>
          <w:rFonts w:hint="eastAsia" w:ascii="仿宋_GB2312" w:hAnsi="仿宋_GB2312" w:eastAsia="仿宋_GB2312" w:cs="仿宋_GB2312"/>
          <w:color w:val="000000" w:themeColor="text1"/>
          <w14:textFill>
            <w14:solidFill>
              <w14:schemeClr w14:val="tx1"/>
            </w14:solidFill>
          </w14:textFill>
        </w:rPr>
        <w:t>（一）产业现状</w:t>
      </w:r>
      <w:bookmarkEnd w:id="29"/>
    </w:p>
    <w:p>
      <w:pPr>
        <w:pStyle w:val="4"/>
        <w:snapToGrid w:val="0"/>
        <w:spacing w:before="0" w:after="0" w:line="360" w:lineRule="auto"/>
        <w:ind w:firstLine="643" w:firstLineChars="200"/>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1、服务能力和发展水平逐步增强</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十三五”期间，郑州市委、市政府坚持创新驱动、内生发展，走质量效益型的集约增长之路，战略性新兴产业相关服务业快速发展，发展要素不断集聚，产业规模不断壮大，自主创新能力不断提高，服务支撑能力不断强化，对经济转型升级和社会发展助推作用显著增强。</w:t>
      </w:r>
    </w:p>
    <w:p>
      <w:pPr>
        <w:snapToGrid w:val="0"/>
        <w:spacing w:line="360" w:lineRule="auto"/>
        <w:ind w:firstLine="640" w:firstLineChars="200"/>
        <w:rPr>
          <w:color w:val="000000" w:themeColor="text1"/>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积极实施“两翼驱动、四区支撑、多点联动”创新布局战略，依托沿黄生态走廊将自创区核心区、金水科教园区等串联打造沿黄科创带，加快建设中原科技城、鲲鹏小镇等一批重大项目，集聚高端平台、高层次人才等创新资源，各区域创新能力不断提升。大力推动双创载体建设，加快营造浓厚的双创氛围，全面深化体制机制改革，进一步激发双创活力，在100个地级以上城市创新创业综合环境中，郑州市创新创业综合环境位居第9位。检验检测认证服务成效显著，全面服务经济社会发展各个领域，服务转型升级提质增效更加有力，占全省检验检测服务业全年营收的比重22.47%。现代金融服务体系持续完善，建立科技贷款风险分担机制，参股成立政策性担保机构郑州中小企业担保有限公司，设立郑洛新国家自主创新示范区成果转化引导基金，开展科技金融资助，初步构建“郑科贷＋政策性担保＋政府引导基金＋科技金融资助”四驱联动的科技金融服务体系。</w:t>
      </w:r>
    </w:p>
    <w:p>
      <w:pPr>
        <w:pStyle w:val="4"/>
        <w:snapToGrid w:val="0"/>
        <w:spacing w:before="0" w:after="0" w:line="360" w:lineRule="auto"/>
        <w:ind w:firstLine="643" w:firstLineChars="200"/>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2、科技创新供给能力持续提升</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“十三五”期间，郑州市持续强化政策链，充分借鉴先进区域经验，围绕自主创新能力关键环节，出台创新企业培育、人才引培、科技成果转化、新型研发机构建设等方面政策，科技创新供给能力持续增强。</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高层次创新人才队伍持续壮大。以“智汇郑州”</w:t>
      </w:r>
      <w:r>
        <w:rPr>
          <w:rFonts w:ascii="仿宋" w:hAnsi="仿宋" w:eastAsia="仿宋_GB2312" w:cs="宋体"/>
          <w:bCs/>
          <w:color w:val="000000" w:themeColor="text1"/>
          <w:kern w:val="0"/>
          <w:sz w:val="32"/>
          <w:szCs w:val="32"/>
          <w14:textFill>
            <w14:solidFill>
              <w14:schemeClr w14:val="tx1"/>
            </w14:solidFill>
          </w14:textFill>
        </w:rPr>
        <w:t>人才工程</w:t>
      </w:r>
      <w:r>
        <w:rPr>
          <w:rFonts w:hint="eastAsia" w:ascii="仿宋" w:hAnsi="仿宋" w:eastAsia="仿宋_GB2312" w:cs="宋体"/>
          <w:bCs/>
          <w:color w:val="000000" w:themeColor="text1"/>
          <w:kern w:val="0"/>
          <w:sz w:val="32"/>
          <w:szCs w:val="32"/>
          <w14:textFill>
            <w14:solidFill>
              <w14:schemeClr w14:val="tx1"/>
            </w14:solidFill>
          </w14:textFill>
        </w:rPr>
        <w:t>为抓手</w:t>
      </w:r>
      <w:r>
        <w:rPr>
          <w:rFonts w:ascii="仿宋" w:hAnsi="仿宋" w:eastAsia="仿宋_GB2312" w:cs="宋体"/>
          <w:bCs/>
          <w:color w:val="000000" w:themeColor="text1"/>
          <w:kern w:val="0"/>
          <w:sz w:val="32"/>
          <w:szCs w:val="32"/>
          <w14:textFill>
            <w14:solidFill>
              <w14:schemeClr w14:val="tx1"/>
            </w14:solidFill>
          </w14:textFill>
        </w:rPr>
        <w:t>，</w:t>
      </w:r>
      <w:r>
        <w:rPr>
          <w:rFonts w:hint="eastAsia" w:ascii="仿宋" w:hAnsi="仿宋" w:eastAsia="仿宋_GB2312" w:cs="宋体"/>
          <w:bCs/>
          <w:color w:val="000000" w:themeColor="text1"/>
          <w:kern w:val="0"/>
          <w:sz w:val="32"/>
          <w:szCs w:val="32"/>
          <w14:textFill>
            <w14:solidFill>
              <w14:schemeClr w14:val="tx1"/>
            </w14:solidFill>
          </w14:textFill>
        </w:rPr>
        <w:t>不断完善</w:t>
      </w:r>
      <w:r>
        <w:rPr>
          <w:rFonts w:ascii="仿宋" w:hAnsi="仿宋" w:eastAsia="仿宋_GB2312" w:cs="宋体"/>
          <w:bCs/>
          <w:color w:val="000000" w:themeColor="text1"/>
          <w:kern w:val="0"/>
          <w:sz w:val="32"/>
          <w:szCs w:val="32"/>
          <w14:textFill>
            <w14:solidFill>
              <w14:schemeClr w14:val="tx1"/>
            </w14:solidFill>
          </w14:textFill>
        </w:rPr>
        <w:t>多层次人才政策体系</w:t>
      </w:r>
      <w:r>
        <w:rPr>
          <w:rFonts w:hint="eastAsia" w:ascii="仿宋" w:hAnsi="仿宋" w:eastAsia="仿宋_GB2312" w:cs="宋体"/>
          <w:bCs/>
          <w:color w:val="000000" w:themeColor="text1"/>
          <w:kern w:val="0"/>
          <w:sz w:val="32"/>
          <w:szCs w:val="32"/>
          <w14:textFill>
            <w14:solidFill>
              <w14:schemeClr w14:val="tx1"/>
            </w14:solidFill>
          </w14:textFill>
        </w:rPr>
        <w:t>。截至</w:t>
      </w:r>
      <w:r>
        <w:rPr>
          <w:rFonts w:ascii="仿宋" w:hAnsi="仿宋" w:eastAsia="仿宋_GB2312" w:cs="宋体"/>
          <w:bCs/>
          <w:color w:val="000000" w:themeColor="text1"/>
          <w:kern w:val="0"/>
          <w:sz w:val="32"/>
          <w:szCs w:val="32"/>
          <w14:textFill>
            <w14:solidFill>
              <w14:schemeClr w14:val="tx1"/>
            </w14:solidFill>
          </w14:textFill>
        </w:rPr>
        <w:t>20</w:t>
      </w:r>
      <w:r>
        <w:rPr>
          <w:rFonts w:hint="eastAsia" w:ascii="仿宋" w:hAnsi="仿宋" w:eastAsia="仿宋_GB2312" w:cs="宋体"/>
          <w:bCs/>
          <w:color w:val="000000" w:themeColor="text1"/>
          <w:kern w:val="0"/>
          <w:sz w:val="32"/>
          <w:szCs w:val="32"/>
          <w14:textFill>
            <w14:solidFill>
              <w14:schemeClr w14:val="tx1"/>
            </w14:solidFill>
          </w14:textFill>
        </w:rPr>
        <w:t>20</w:t>
      </w:r>
      <w:r>
        <w:rPr>
          <w:rFonts w:ascii="仿宋" w:hAnsi="仿宋" w:eastAsia="仿宋_GB2312" w:cs="宋体"/>
          <w:bCs/>
          <w:color w:val="000000" w:themeColor="text1"/>
          <w:kern w:val="0"/>
          <w:sz w:val="32"/>
          <w:szCs w:val="32"/>
          <w14:textFill>
            <w14:solidFill>
              <w14:schemeClr w14:val="tx1"/>
            </w14:solidFill>
          </w14:textFill>
        </w:rPr>
        <w:t>年</w:t>
      </w:r>
      <w:r>
        <w:rPr>
          <w:rFonts w:hint="eastAsia" w:ascii="仿宋" w:hAnsi="仿宋" w:eastAsia="仿宋_GB2312" w:cs="宋体"/>
          <w:bCs/>
          <w:color w:val="000000" w:themeColor="text1"/>
          <w:kern w:val="0"/>
          <w:sz w:val="32"/>
          <w:szCs w:val="32"/>
          <w14:textFill>
            <w14:solidFill>
              <w14:schemeClr w14:val="tx1"/>
            </w14:solidFill>
          </w14:textFill>
        </w:rPr>
        <w:t>底</w:t>
      </w:r>
      <w:r>
        <w:rPr>
          <w:rFonts w:ascii="仿宋" w:hAnsi="仿宋" w:eastAsia="仿宋_GB2312" w:cs="宋体"/>
          <w:bCs/>
          <w:color w:val="000000" w:themeColor="text1"/>
          <w:kern w:val="0"/>
          <w:sz w:val="32"/>
          <w:szCs w:val="32"/>
          <w14:textFill>
            <w14:solidFill>
              <w14:schemeClr w14:val="tx1"/>
            </w14:solidFill>
          </w14:textFill>
        </w:rPr>
        <w:t>，</w:t>
      </w:r>
      <w:r>
        <w:rPr>
          <w:rFonts w:hint="eastAsia" w:ascii="仿宋" w:hAnsi="仿宋" w:eastAsia="仿宋_GB2312" w:cs="宋体"/>
          <w:bCs/>
          <w:color w:val="000000" w:themeColor="text1"/>
          <w:kern w:val="0"/>
          <w:sz w:val="32"/>
          <w:szCs w:val="32"/>
          <w14:textFill>
            <w14:solidFill>
              <w14:schemeClr w14:val="tx1"/>
            </w14:solidFill>
          </w14:textFill>
        </w:rPr>
        <w:t>郑州市共</w:t>
      </w:r>
      <w:r>
        <w:rPr>
          <w:rFonts w:ascii="仿宋" w:hAnsi="仿宋" w:eastAsia="仿宋_GB2312" w:cs="宋体"/>
          <w:bCs/>
          <w:color w:val="000000" w:themeColor="text1"/>
          <w:kern w:val="0"/>
          <w:sz w:val="32"/>
          <w:szCs w:val="32"/>
          <w14:textFill>
            <w14:solidFill>
              <w14:schemeClr w14:val="tx1"/>
            </w14:solidFill>
          </w14:textFill>
        </w:rPr>
        <w:t>汇聚两院院士、长江学者等顶尖人才88名</w:t>
      </w:r>
      <w:r>
        <w:rPr>
          <w:rFonts w:hint="eastAsia" w:ascii="仿宋" w:hAnsi="仿宋" w:eastAsia="仿宋_GB2312" w:cs="宋体"/>
          <w:bCs/>
          <w:color w:val="000000" w:themeColor="text1"/>
          <w:kern w:val="0"/>
          <w:sz w:val="32"/>
          <w:szCs w:val="32"/>
          <w14:textFill>
            <w14:solidFill>
              <w14:schemeClr w14:val="tx1"/>
            </w14:solidFill>
          </w14:textFill>
        </w:rPr>
        <w:t>，</w:t>
      </w:r>
      <w:r>
        <w:rPr>
          <w:rFonts w:hint="eastAsia" w:ascii="仿宋_GB2312" w:hAnsi="仿宋_GB2312" w:eastAsia="仿宋_GB2312" w:cs="仿宋_GB2312"/>
          <w:sz w:val="32"/>
          <w:szCs w:val="32"/>
          <w:lang w:val="zh-CN"/>
        </w:rPr>
        <w:t>引进境内外高层次人才1042名</w:t>
      </w:r>
      <w:r>
        <w:rPr>
          <w:rFonts w:hint="eastAsia" w:ascii="仿宋" w:hAnsi="仿宋" w:eastAsia="仿宋_GB2312" w:cs="宋体"/>
          <w:bCs/>
          <w:color w:val="000000" w:themeColor="text1"/>
          <w:kern w:val="0"/>
          <w:sz w:val="32"/>
          <w:szCs w:val="32"/>
          <w14:textFill>
            <w14:solidFill>
              <w14:schemeClr w14:val="tx1"/>
            </w14:solidFill>
          </w14:textFill>
        </w:rPr>
        <w:t>。高端创新平台建设成效显著。落地建设国家技术转移郑州中心重大创新服务平台，获批组建食管癌防治国家重点实验室等15个国家级研发平台；累计建成各类研发平台3547个，其中国家级56个、省级1297个。新型研发机构加快建设。</w:t>
      </w:r>
      <w:r>
        <w:rPr>
          <w:rFonts w:hint="eastAsia" w:ascii="仿宋_GB2312" w:hAnsi="仿宋_GB2312" w:eastAsia="仿宋_GB2312" w:cs="仿宋_GB2312"/>
          <w:sz w:val="32"/>
          <w:szCs w:val="32"/>
          <w:lang w:val="zh-CN"/>
        </w:rPr>
        <w:t>加强院地合作，中科院过程所、微电子所、苏州医工所等在郑设立分所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加强</w:t>
      </w:r>
      <w:r>
        <w:rPr>
          <w:rFonts w:hint="eastAsia" w:ascii="仿宋_GB2312" w:hAnsi="仿宋_GB2312" w:eastAsia="仿宋_GB2312" w:cs="仿宋_GB2312"/>
          <w:sz w:val="32"/>
          <w:szCs w:val="32"/>
        </w:rPr>
        <w:t>校地</w:t>
      </w:r>
      <w:r>
        <w:rPr>
          <w:rFonts w:hint="eastAsia" w:ascii="仿宋_GB2312" w:hAnsi="仿宋_GB2312" w:eastAsia="仿宋_GB2312" w:cs="仿宋_GB2312"/>
          <w:sz w:val="32"/>
          <w:szCs w:val="32"/>
          <w:lang w:val="zh-CN"/>
        </w:rPr>
        <w:t>合作，浙江大学、大连理工大学等高校在郑建立新型研发机构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加强军地合作，组建信大先进技术研究院，打通了军民科技成果双向转移转化通道。五年引进培育各类新型研发机构</w:t>
      </w: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lang w:val="zh-CN"/>
        </w:rPr>
        <w:t>个，</w:t>
      </w:r>
      <w:r>
        <w:rPr>
          <w:rFonts w:hint="eastAsia" w:ascii="仿宋_GB2312" w:hAnsi="仿宋_GB2312" w:eastAsia="仿宋_GB2312" w:cs="仿宋_GB2312"/>
          <w:sz w:val="32"/>
          <w:szCs w:val="32"/>
        </w:rPr>
        <w:t>研发的</w:t>
      </w:r>
      <w:r>
        <w:rPr>
          <w:rFonts w:hint="eastAsia" w:ascii="仿宋_GB2312" w:hAnsi="仿宋_GB2312" w:eastAsia="仿宋_GB2312" w:cs="仿宋_GB2312"/>
          <w:sz w:val="32"/>
          <w:szCs w:val="32"/>
          <w:lang w:val="zh-CN"/>
        </w:rPr>
        <w:t>半导体激光隐形晶圆切割设备，填补了国内空白</w:t>
      </w:r>
      <w:r>
        <w:rPr>
          <w:rFonts w:hint="eastAsia" w:ascii="仿宋" w:hAnsi="仿宋" w:eastAsia="仿宋_GB2312" w:cs="宋体"/>
          <w:bCs/>
          <w:color w:val="000000" w:themeColor="text1"/>
          <w:kern w:val="0"/>
          <w:sz w:val="32"/>
          <w:szCs w:val="32"/>
          <w14:textFill>
            <w14:solidFill>
              <w14:schemeClr w14:val="tx1"/>
            </w14:solidFill>
          </w14:textFill>
        </w:rPr>
        <w:t>。</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着力提升知识产权创造及运用水平，创新成效显著提升。专利授权量由1.6万件增长到4.5万件，</w:t>
      </w:r>
      <w:r>
        <w:rPr>
          <w:rFonts w:ascii="仿宋" w:hAnsi="仿宋" w:eastAsia="仿宋_GB2312" w:cs="宋体"/>
          <w:bCs/>
          <w:color w:val="000000" w:themeColor="text1"/>
          <w:kern w:val="0"/>
          <w:sz w:val="32"/>
          <w:szCs w:val="32"/>
          <w14:textFill>
            <w14:solidFill>
              <w14:schemeClr w14:val="tx1"/>
            </w14:solidFill>
          </w14:textFill>
        </w:rPr>
        <w:t>同比增长35%</w:t>
      </w:r>
      <w:r>
        <w:rPr>
          <w:rFonts w:hint="eastAsia" w:ascii="仿宋" w:hAnsi="仿宋" w:eastAsia="仿宋_GB2312" w:cs="宋体"/>
          <w:bCs/>
          <w:color w:val="000000" w:themeColor="text1"/>
          <w:kern w:val="0"/>
          <w:sz w:val="32"/>
          <w:szCs w:val="32"/>
          <w14:textFill>
            <w14:solidFill>
              <w14:schemeClr w14:val="tx1"/>
            </w14:solidFill>
          </w14:textFill>
        </w:rPr>
        <w:t>；万人发明专利拥有量由6.87件增长到18.2件，增长1.67倍。技术转移机构规模不断扩张。郑州市集中了全省40%以上的高新技术企业、50%以上的成果转移转化，带动了智能终端、智能装备制造、信息安全、智能传感器等领域高新技术产业快速发展。获得</w:t>
      </w:r>
      <w:r>
        <w:rPr>
          <w:rFonts w:hint="eastAsia" w:ascii="仿宋_GB2312" w:hAnsi="仿宋_GB2312" w:eastAsia="仿宋_GB2312" w:cs="仿宋_GB2312"/>
          <w:sz w:val="32"/>
          <w:szCs w:val="32"/>
        </w:rPr>
        <w:t>省级科学技术奖923项、国家奖32项</w:t>
      </w:r>
      <w:r>
        <w:rPr>
          <w:rFonts w:hint="eastAsia" w:ascii="仿宋" w:hAnsi="仿宋" w:eastAsia="仿宋_GB2312" w:cs="宋体"/>
          <w:bCs/>
          <w:color w:val="000000" w:themeColor="text1"/>
          <w:kern w:val="0"/>
          <w:sz w:val="32"/>
          <w:szCs w:val="32"/>
          <w14:textFill>
            <w14:solidFill>
              <w14:schemeClr w14:val="tx1"/>
            </w14:solidFill>
          </w14:textFill>
        </w:rPr>
        <w:t>。旭飞光电公司的“光电显示用玻璃基板关键技术”等2项成果获国家科技进步一等奖；中铁装备公司的“异形全断面隧道掘进机关键技术”等30项成果获国家科技进步二等奖；获省科学技术奖730项。郑煤机研发的大采高高端采煤机和薄煤层高端采煤机，整体技术指标达到国际先进水平；宇通客车无人驾驶线路正式运行，宇通新能源客车动力系统成为行业主流，销量国内第一；安图生物“新型系列全自动化学发光免疫分析系统”项目取得重大突破；中铁装备发布的“龙岩号”，实现对TBM传统破岩理念的革命性创新。</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十三五”期间，郑州市制定出台《郑州市技术转移补助实施细则》《郑州市科技成果转移转化补助实施细则》等一系列政策，全面强化科技成果转化和技术转移后补助，大力推动科技成果转化。依托国家技术转移郑州中心，引进和培育技术集成与经营、技术经纪和技术投融资等服务的技术转移机构，启动建设郑州科技大市场，加快集聚、激活技术、资金、人才、服务、政策等创新要素。技术合同成交额快速增长。“十三五”期间，引进中科院微电子所、猪八戒网等国内知名研发机构和技术服务机构13家，培育域内郑州卓创孵化科技服务有限公司等技术转移服务（示范）机构27家，全市技术合同成交额由2016年初的19.9亿元增长到成交额212亿元，增长了9.6倍。</w:t>
      </w:r>
    </w:p>
    <w:p>
      <w:pPr>
        <w:pStyle w:val="4"/>
        <w:snapToGrid w:val="0"/>
        <w:spacing w:before="0" w:after="0" w:line="360" w:lineRule="auto"/>
        <w:ind w:firstLine="643" w:firstLineChars="200"/>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3、创新创业发展环境不断优化</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十三五”期间，郑州市大力推动双创载体建设、科技金融体系完善及双创活动开展，加快营造浓厚的双创氛围，健全科技创新政策体系，全面深化体制机制改革，进一步激发双创活力，提升了创新创业载体承载和服务能力。</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创新创业孵化载体建设不断拓展，初步形成“众创空间－孵化器－加速器－产业园”的全链条孵化体系。截至2020年底，孵化载体数量达到270家，孵化载体面积突破861万平方米，在孵企业（团队）超过12000家</w:t>
      </w:r>
      <w:r>
        <w:rPr>
          <w:rFonts w:hint="eastAsia" w:ascii="仿宋_GB2312" w:hAnsi="仿宋_GB2312" w:eastAsia="仿宋_GB2312" w:cs="仿宋_GB2312"/>
          <w:sz w:val="32"/>
          <w:szCs w:val="32"/>
          <w:lang w:val="zh-CN"/>
        </w:rPr>
        <w:t>，培育新三板上市企业28家</w:t>
      </w:r>
      <w:r>
        <w:rPr>
          <w:rFonts w:hint="eastAsia" w:ascii="仿宋" w:hAnsi="仿宋" w:eastAsia="仿宋_GB2312" w:cs="宋体"/>
          <w:bCs/>
          <w:color w:val="000000" w:themeColor="text1"/>
          <w:kern w:val="0"/>
          <w:sz w:val="32"/>
          <w:szCs w:val="32"/>
          <w14:textFill>
            <w14:solidFill>
              <w14:schemeClr w14:val="tx1"/>
            </w14:solidFill>
          </w14:textFill>
        </w:rPr>
        <w:t>。众创空间达到148家，国家级31家；科技企业孵化器77家，国家级16家；创新创业综合体20个；大学科技园5家，国家级1家。高层次双创人才队伍持续壮大。以“智汇郑州”</w:t>
      </w:r>
      <w:r>
        <w:rPr>
          <w:rFonts w:ascii="仿宋" w:hAnsi="仿宋" w:eastAsia="仿宋_GB2312" w:cs="宋体"/>
          <w:bCs/>
          <w:color w:val="000000" w:themeColor="text1"/>
          <w:kern w:val="0"/>
          <w:sz w:val="32"/>
          <w:szCs w:val="32"/>
          <w14:textFill>
            <w14:solidFill>
              <w14:schemeClr w14:val="tx1"/>
            </w14:solidFill>
          </w14:textFill>
        </w:rPr>
        <w:t>人才工程</w:t>
      </w:r>
      <w:r>
        <w:rPr>
          <w:rFonts w:hint="eastAsia" w:ascii="仿宋" w:hAnsi="仿宋" w:eastAsia="仿宋_GB2312" w:cs="宋体"/>
          <w:bCs/>
          <w:color w:val="000000" w:themeColor="text1"/>
          <w:kern w:val="0"/>
          <w:sz w:val="32"/>
          <w:szCs w:val="32"/>
          <w14:textFill>
            <w14:solidFill>
              <w14:schemeClr w14:val="tx1"/>
            </w14:solidFill>
          </w14:textFill>
        </w:rPr>
        <w:t>为抓手</w:t>
      </w:r>
      <w:r>
        <w:rPr>
          <w:rFonts w:ascii="仿宋" w:hAnsi="仿宋" w:eastAsia="仿宋_GB2312" w:cs="宋体"/>
          <w:bCs/>
          <w:color w:val="000000" w:themeColor="text1"/>
          <w:kern w:val="0"/>
          <w:sz w:val="32"/>
          <w:szCs w:val="32"/>
          <w14:textFill>
            <w14:solidFill>
              <w14:schemeClr w14:val="tx1"/>
            </w14:solidFill>
          </w14:textFill>
        </w:rPr>
        <w:t>，</w:t>
      </w:r>
      <w:r>
        <w:rPr>
          <w:rFonts w:hint="eastAsia" w:ascii="仿宋" w:hAnsi="仿宋" w:eastAsia="仿宋_GB2312" w:cs="宋体"/>
          <w:bCs/>
          <w:color w:val="000000" w:themeColor="text1"/>
          <w:kern w:val="0"/>
          <w:sz w:val="32"/>
          <w:szCs w:val="32"/>
          <w14:textFill>
            <w14:solidFill>
              <w14:schemeClr w14:val="tx1"/>
            </w14:solidFill>
          </w14:textFill>
        </w:rPr>
        <w:t>不断完善</w:t>
      </w:r>
      <w:r>
        <w:rPr>
          <w:rFonts w:ascii="仿宋" w:hAnsi="仿宋" w:eastAsia="仿宋_GB2312" w:cs="宋体"/>
          <w:bCs/>
          <w:color w:val="000000" w:themeColor="text1"/>
          <w:kern w:val="0"/>
          <w:sz w:val="32"/>
          <w:szCs w:val="32"/>
          <w14:textFill>
            <w14:solidFill>
              <w14:schemeClr w14:val="tx1"/>
            </w14:solidFill>
          </w14:textFill>
        </w:rPr>
        <w:t>多层次人才政策体系</w:t>
      </w:r>
      <w:r>
        <w:rPr>
          <w:rFonts w:hint="eastAsia" w:ascii="仿宋" w:hAnsi="仿宋" w:eastAsia="仿宋_GB2312" w:cs="宋体"/>
          <w:bCs/>
          <w:color w:val="000000" w:themeColor="text1"/>
          <w:kern w:val="0"/>
          <w:sz w:val="32"/>
          <w:szCs w:val="32"/>
          <w14:textFill>
            <w14:solidFill>
              <w14:schemeClr w14:val="tx1"/>
            </w14:solidFill>
          </w14:textFill>
        </w:rPr>
        <w:t>。截至</w:t>
      </w:r>
      <w:r>
        <w:rPr>
          <w:rFonts w:ascii="仿宋" w:hAnsi="仿宋" w:eastAsia="仿宋_GB2312" w:cs="宋体"/>
          <w:bCs/>
          <w:color w:val="000000" w:themeColor="text1"/>
          <w:kern w:val="0"/>
          <w:sz w:val="32"/>
          <w:szCs w:val="32"/>
          <w14:textFill>
            <w14:solidFill>
              <w14:schemeClr w14:val="tx1"/>
            </w14:solidFill>
          </w14:textFill>
        </w:rPr>
        <w:t>20</w:t>
      </w:r>
      <w:r>
        <w:rPr>
          <w:rFonts w:hint="eastAsia" w:ascii="仿宋" w:hAnsi="仿宋" w:eastAsia="仿宋_GB2312" w:cs="宋体"/>
          <w:bCs/>
          <w:color w:val="000000" w:themeColor="text1"/>
          <w:kern w:val="0"/>
          <w:sz w:val="32"/>
          <w:szCs w:val="32"/>
          <w14:textFill>
            <w14:solidFill>
              <w14:schemeClr w14:val="tx1"/>
            </w14:solidFill>
          </w14:textFill>
        </w:rPr>
        <w:t>20</w:t>
      </w:r>
      <w:r>
        <w:rPr>
          <w:rFonts w:ascii="仿宋" w:hAnsi="仿宋" w:eastAsia="仿宋_GB2312" w:cs="宋体"/>
          <w:bCs/>
          <w:color w:val="000000" w:themeColor="text1"/>
          <w:kern w:val="0"/>
          <w:sz w:val="32"/>
          <w:szCs w:val="32"/>
          <w14:textFill>
            <w14:solidFill>
              <w14:schemeClr w14:val="tx1"/>
            </w14:solidFill>
          </w14:textFill>
        </w:rPr>
        <w:t>年</w:t>
      </w:r>
      <w:r>
        <w:rPr>
          <w:rFonts w:hint="eastAsia" w:ascii="仿宋" w:hAnsi="仿宋" w:eastAsia="仿宋_GB2312" w:cs="宋体"/>
          <w:bCs/>
          <w:color w:val="000000" w:themeColor="text1"/>
          <w:kern w:val="0"/>
          <w:sz w:val="32"/>
          <w:szCs w:val="32"/>
          <w14:textFill>
            <w14:solidFill>
              <w14:schemeClr w14:val="tx1"/>
            </w14:solidFill>
          </w14:textFill>
        </w:rPr>
        <w:t>底</w:t>
      </w:r>
      <w:r>
        <w:rPr>
          <w:rFonts w:ascii="仿宋" w:hAnsi="仿宋" w:eastAsia="仿宋_GB2312" w:cs="宋体"/>
          <w:bCs/>
          <w:color w:val="000000" w:themeColor="text1"/>
          <w:kern w:val="0"/>
          <w:sz w:val="32"/>
          <w:szCs w:val="32"/>
          <w14:textFill>
            <w14:solidFill>
              <w14:schemeClr w14:val="tx1"/>
            </w14:solidFill>
          </w14:textFill>
        </w:rPr>
        <w:t>，</w:t>
      </w:r>
      <w:r>
        <w:rPr>
          <w:rFonts w:hint="eastAsia" w:ascii="仿宋" w:hAnsi="仿宋" w:eastAsia="仿宋_GB2312" w:cs="宋体"/>
          <w:bCs/>
          <w:color w:val="000000" w:themeColor="text1"/>
          <w:kern w:val="0"/>
          <w:sz w:val="32"/>
          <w:szCs w:val="32"/>
          <w14:textFill>
            <w14:solidFill>
              <w14:schemeClr w14:val="tx1"/>
            </w14:solidFill>
          </w14:textFill>
        </w:rPr>
        <w:t>郑州市共引进</w:t>
      </w:r>
      <w:r>
        <w:rPr>
          <w:rFonts w:ascii="仿宋" w:hAnsi="仿宋" w:eastAsia="仿宋_GB2312" w:cs="宋体"/>
          <w:bCs/>
          <w:color w:val="000000" w:themeColor="text1"/>
          <w:kern w:val="0"/>
          <w:sz w:val="32"/>
          <w:szCs w:val="32"/>
          <w14:textFill>
            <w14:solidFill>
              <w14:schemeClr w14:val="tx1"/>
            </w14:solidFill>
          </w14:textFill>
        </w:rPr>
        <w:t>领军型科技创新创业团队</w:t>
      </w:r>
      <w:r>
        <w:rPr>
          <w:rFonts w:hint="eastAsia" w:ascii="仿宋" w:hAnsi="仿宋" w:eastAsia="仿宋_GB2312" w:cs="宋体"/>
          <w:bCs/>
          <w:color w:val="000000" w:themeColor="text1"/>
          <w:kern w:val="0"/>
          <w:sz w:val="32"/>
          <w:szCs w:val="32"/>
          <w14:textFill>
            <w14:solidFill>
              <w14:schemeClr w14:val="tx1"/>
            </w14:solidFill>
          </w14:textFill>
        </w:rPr>
        <w:t>413</w:t>
      </w:r>
      <w:r>
        <w:rPr>
          <w:rFonts w:ascii="仿宋" w:hAnsi="仿宋" w:eastAsia="仿宋_GB2312" w:cs="宋体"/>
          <w:bCs/>
          <w:color w:val="000000" w:themeColor="text1"/>
          <w:kern w:val="0"/>
          <w:sz w:val="32"/>
          <w:szCs w:val="32"/>
          <w14:textFill>
            <w14:solidFill>
              <w14:schemeClr w14:val="tx1"/>
            </w14:solidFill>
          </w14:textFill>
        </w:rPr>
        <w:t>个、科技创业企业家227名</w:t>
      </w:r>
      <w:r>
        <w:rPr>
          <w:rFonts w:hint="eastAsia" w:ascii="仿宋" w:hAnsi="仿宋" w:eastAsia="仿宋_GB2312" w:cs="宋体"/>
          <w:bCs/>
          <w:color w:val="000000" w:themeColor="text1"/>
          <w:kern w:val="0"/>
          <w:sz w:val="32"/>
          <w:szCs w:val="32"/>
          <w14:textFill>
            <w14:solidFill>
              <w14:schemeClr w14:val="tx1"/>
            </w14:solidFill>
          </w14:textFill>
        </w:rPr>
        <w:t>。双创资源开放共享机制日益完善。率先在全国省会城市建设大型科学仪器共享平台，建立大型科学仪器设施资源共享机制、专项资金共享补助制度。截至目前，郑州市区域内入网服务仪器已达到</w:t>
      </w:r>
      <w:r>
        <w:rPr>
          <w:rFonts w:ascii="仿宋" w:hAnsi="仿宋" w:eastAsia="仿宋_GB2312" w:cs="宋体"/>
          <w:bCs/>
          <w:color w:val="000000" w:themeColor="text1"/>
          <w:kern w:val="0"/>
          <w:sz w:val="32"/>
          <w:szCs w:val="32"/>
          <w14:textFill>
            <w14:solidFill>
              <w14:schemeClr w14:val="tx1"/>
            </w14:solidFill>
          </w14:textFill>
        </w:rPr>
        <w:t>3915台（套）</w:t>
      </w:r>
      <w:r>
        <w:rPr>
          <w:rFonts w:hint="eastAsia" w:ascii="仿宋" w:hAnsi="仿宋" w:eastAsia="仿宋_GB2312" w:cs="宋体"/>
          <w:bCs/>
          <w:color w:val="000000" w:themeColor="text1"/>
          <w:kern w:val="0"/>
          <w:sz w:val="32"/>
          <w:szCs w:val="32"/>
          <w14:textFill>
            <w14:solidFill>
              <w14:schemeClr w14:val="tx1"/>
            </w14:solidFill>
          </w14:textFill>
        </w:rPr>
        <w:t>。创新创业赛事活动有效开展。大力打造品牌赛事活动，组织开展“郑创汇”“强网杯”“传感器大会”等创新创业大赛。其中，“郑创汇”至今已成功举办6届150余场大赛，共有上万个项目报名参赛，133个项目落地郑州发展，UU跑腿、伊啦看书、飞轮威尔等一大批项目在大赛中脱颖而出，已经成为郑州市的知名企业。</w:t>
      </w:r>
    </w:p>
    <w:p>
      <w:pPr>
        <w:pStyle w:val="4"/>
        <w:snapToGrid w:val="0"/>
        <w:spacing w:before="0" w:after="0" w:line="360" w:lineRule="auto"/>
        <w:ind w:firstLine="643" w:firstLineChars="200"/>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4、检验检测认证服务成效显著</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“十三五”时期，检验检测、认证认可全面服务经济社会发展各个领域，服务转型升级提质增效更加有力。到2020年，</w:t>
      </w:r>
      <w:r>
        <w:rPr>
          <w:rFonts w:ascii="仿宋" w:hAnsi="仿宋" w:eastAsia="仿宋_GB2312" w:cs="宋体"/>
          <w:bCs/>
          <w:color w:val="000000" w:themeColor="text1"/>
          <w:kern w:val="0"/>
          <w:sz w:val="32"/>
          <w:szCs w:val="32"/>
          <w14:textFill>
            <w14:solidFill>
              <w14:schemeClr w14:val="tx1"/>
            </w14:solidFill>
          </w14:textFill>
        </w:rPr>
        <w:t>郑州拥有国家质检中心1</w:t>
      </w:r>
      <w:r>
        <w:rPr>
          <w:rFonts w:hint="eastAsia" w:ascii="仿宋" w:hAnsi="仿宋" w:eastAsia="仿宋_GB2312" w:cs="宋体"/>
          <w:bCs/>
          <w:color w:val="000000" w:themeColor="text1"/>
          <w:kern w:val="0"/>
          <w:sz w:val="32"/>
          <w:szCs w:val="32"/>
          <w14:textFill>
            <w14:solidFill>
              <w14:schemeClr w14:val="tx1"/>
            </w14:solidFill>
          </w14:textFill>
        </w:rPr>
        <w:t>1</w:t>
      </w:r>
      <w:r>
        <w:rPr>
          <w:rFonts w:ascii="仿宋" w:hAnsi="仿宋" w:eastAsia="仿宋_GB2312" w:cs="宋体"/>
          <w:bCs/>
          <w:color w:val="000000" w:themeColor="text1"/>
          <w:kern w:val="0"/>
          <w:sz w:val="32"/>
          <w:szCs w:val="32"/>
          <w14:textFill>
            <w14:solidFill>
              <w14:schemeClr w14:val="tx1"/>
            </w14:solidFill>
          </w14:textFill>
        </w:rPr>
        <w:t>个，省质检中心</w:t>
      </w:r>
      <w:r>
        <w:rPr>
          <w:rFonts w:hint="eastAsia" w:ascii="仿宋" w:hAnsi="仿宋" w:eastAsia="仿宋_GB2312" w:cs="宋体"/>
          <w:bCs/>
          <w:color w:val="000000" w:themeColor="text1"/>
          <w:kern w:val="0"/>
          <w:sz w:val="32"/>
          <w:szCs w:val="32"/>
          <w14:textFill>
            <w14:solidFill>
              <w14:schemeClr w14:val="tx1"/>
            </w14:solidFill>
          </w14:textFill>
        </w:rPr>
        <w:t>25</w:t>
      </w:r>
      <w:r>
        <w:rPr>
          <w:rFonts w:ascii="仿宋" w:hAnsi="仿宋" w:eastAsia="仿宋_GB2312" w:cs="宋体"/>
          <w:bCs/>
          <w:color w:val="000000" w:themeColor="text1"/>
          <w:kern w:val="0"/>
          <w:sz w:val="32"/>
          <w:szCs w:val="32"/>
          <w14:textFill>
            <w14:solidFill>
              <w14:schemeClr w14:val="tx1"/>
            </w14:solidFill>
          </w14:textFill>
        </w:rPr>
        <w:t>个，通过资质认定的检验检测机构已达</w:t>
      </w:r>
      <w:r>
        <w:rPr>
          <w:rFonts w:hint="eastAsia" w:ascii="仿宋" w:hAnsi="仿宋" w:eastAsia="仿宋_GB2312" w:cs="宋体"/>
          <w:bCs/>
          <w:color w:val="000000" w:themeColor="text1"/>
          <w:kern w:val="0"/>
          <w:sz w:val="32"/>
          <w:szCs w:val="32"/>
          <w14:textFill>
            <w14:solidFill>
              <w14:schemeClr w14:val="tx1"/>
            </w14:solidFill>
          </w14:textFill>
        </w:rPr>
        <w:t>600</w:t>
      </w:r>
      <w:r>
        <w:rPr>
          <w:rFonts w:ascii="仿宋" w:hAnsi="仿宋" w:eastAsia="仿宋_GB2312" w:cs="宋体"/>
          <w:bCs/>
          <w:color w:val="000000" w:themeColor="text1"/>
          <w:kern w:val="0"/>
          <w:sz w:val="32"/>
          <w:szCs w:val="32"/>
          <w14:textFill>
            <w14:solidFill>
              <w14:schemeClr w14:val="tx1"/>
            </w14:solidFill>
          </w14:textFill>
        </w:rPr>
        <w:t>家</w:t>
      </w:r>
      <w:r>
        <w:rPr>
          <w:rFonts w:hint="eastAsia" w:ascii="仿宋" w:hAnsi="仿宋" w:eastAsia="仿宋_GB2312" w:cs="宋体"/>
          <w:bCs/>
          <w:color w:val="000000" w:themeColor="text1"/>
          <w:kern w:val="0"/>
          <w:sz w:val="32"/>
          <w:szCs w:val="32"/>
          <w14:textFill>
            <w14:solidFill>
              <w14:schemeClr w14:val="tx1"/>
            </w14:solidFill>
          </w14:textFill>
        </w:rPr>
        <w:t>，实现营业收入50亿元左右，占全省检验检测服务业全年营收的比重22.47%</w:t>
      </w:r>
      <w:r>
        <w:rPr>
          <w:rFonts w:ascii="仿宋" w:hAnsi="仿宋" w:eastAsia="仿宋_GB2312" w:cs="宋体"/>
          <w:bCs/>
          <w:color w:val="000000" w:themeColor="text1"/>
          <w:kern w:val="0"/>
          <w:sz w:val="32"/>
          <w:szCs w:val="32"/>
          <w14:textFill>
            <w14:solidFill>
              <w14:schemeClr w14:val="tx1"/>
            </w14:solidFill>
          </w14:textFill>
        </w:rPr>
        <w:t>。</w:t>
      </w:r>
      <w:r>
        <w:rPr>
          <w:rFonts w:hint="eastAsia" w:ascii="仿宋" w:hAnsi="仿宋" w:eastAsia="仿宋_GB2312" w:cs="宋体"/>
          <w:bCs/>
          <w:color w:val="000000" w:themeColor="text1"/>
          <w:kern w:val="0"/>
          <w:sz w:val="32"/>
          <w:szCs w:val="32"/>
          <w14:textFill>
            <w14:solidFill>
              <w14:schemeClr w14:val="tx1"/>
            </w14:solidFill>
          </w14:textFill>
        </w:rPr>
        <w:t>检验检测认证机构整合工作进一步加快，规模化、专业化、品牌化发展初见成效，并涌现出了一批优势企业和知名品牌。中国计量科学研究院郑州中心（郑州计量先进技术研究院）落地郑州，国家磨料磨具产业计量中心获得市场监管总局批筹。高新区成功创建“国家检验检测认证公共服务平台示范区”。依托产业集聚区建设的国家和省级质检中心，促进了产业发展，推进了转型升级，服务了招商引资和承接产业转移。</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服务经济发展成效显著。推进标准化战略，拥有国际标准化组织分技术委员会秘书处和工作组2个，26个单位承担全国标准化专业技术委员会。全市企事业单位累计参与制（修）订国际标准27项、国家标准762项、行业标准836项、发布郑州地方标准27项。全市法定计量技术机构社会公用计量标准达213项，其中市级最高社会公用计量标准109项。国家城市能源计量中心（河南）顺利通过验收，初步构建了水、电、气、油、煤等主要能源及耗能工质的能耗在线采集系统。</w:t>
      </w:r>
    </w:p>
    <w:p>
      <w:pPr>
        <w:pStyle w:val="4"/>
        <w:snapToGrid w:val="0"/>
        <w:spacing w:before="0" w:after="0" w:line="360" w:lineRule="auto"/>
        <w:ind w:firstLine="643" w:firstLineChars="200"/>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5、现代金融服务体系日趋完善</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十三五”期间，郑州市以郑东新区金融集聚核心功能区为载体，有序推进龙湖金融岛、中原基金岛开发建设，大力推进“引金入豫”，推进金融业机构集聚和服务创新，重点发展金融服务外包、金融电子商务产业，形成创新金融生态圈，全力打造成有影响力的区域金融创新中心。2020年末，拥有各类金融机构395家，已经成为全国第5个聚齐3家政策性银行、5家国有商业银行、12家股份制银行的省会城市，供应链金融、互联网金融及其他金融中介服务等多元业态也在不断聚集。本土金融机构方面，郑州银行成为全国首家A+H股上市城商行，中原银行在香港上市，郑州市市郊、市区农村信用合作联社合并组建成立郑州农商行，中原股权交易中心开市、中原农业保险开业、中原资产揭牌，金融豫军已蔚然成势。</w:t>
      </w:r>
      <w:r>
        <w:rPr>
          <w:rFonts w:hint="eastAsia" w:ascii="仿宋" w:hAnsi="仿宋" w:eastAsia="仿宋_GB2312" w:cs="宋体"/>
          <w:bCs/>
          <w:color w:val="000000" w:themeColor="text1"/>
          <w:kern w:val="0"/>
          <w:sz w:val="32"/>
          <w:szCs w:val="32"/>
          <w:lang w:eastAsia="zh-CN"/>
          <w14:textFill>
            <w14:solidFill>
              <w14:schemeClr w14:val="tx1"/>
            </w14:solidFill>
          </w14:textFill>
        </w:rPr>
        <w:t>截至</w:t>
      </w:r>
      <w:r>
        <w:rPr>
          <w:rFonts w:hint="eastAsia" w:ascii="仿宋" w:hAnsi="仿宋" w:eastAsia="仿宋_GB2312" w:cs="宋体"/>
          <w:bCs/>
          <w:color w:val="000000" w:themeColor="text1"/>
          <w:kern w:val="0"/>
          <w:sz w:val="32"/>
          <w:szCs w:val="32"/>
          <w14:textFill>
            <w14:solidFill>
              <w14:schemeClr w14:val="tx1"/>
            </w14:solidFill>
          </w14:textFill>
        </w:rPr>
        <w:t>2020年末，</w:t>
      </w:r>
      <w:r>
        <w:rPr>
          <w:rFonts w:ascii="仿宋" w:hAnsi="仿宋" w:eastAsia="仿宋_GB2312" w:cs="宋体"/>
          <w:bCs/>
          <w:color w:val="000000" w:themeColor="text1"/>
          <w:kern w:val="0"/>
          <w:sz w:val="32"/>
          <w:szCs w:val="32"/>
          <w14:textFill>
            <w14:solidFill>
              <w14:schemeClr w14:val="tx1"/>
            </w14:solidFill>
          </w14:textFill>
        </w:rPr>
        <w:t>金融业增加值</w:t>
      </w:r>
      <w:r>
        <w:rPr>
          <w:rFonts w:hint="eastAsia" w:ascii="仿宋" w:hAnsi="仿宋" w:eastAsia="仿宋_GB2312" w:cs="宋体"/>
          <w:bCs/>
          <w:color w:val="000000" w:themeColor="text1"/>
          <w:kern w:val="0"/>
          <w:sz w:val="32"/>
          <w:szCs w:val="32"/>
          <w14:textFill>
            <w14:solidFill>
              <w14:schemeClr w14:val="tx1"/>
            </w14:solidFill>
          </w14:textFill>
        </w:rPr>
        <w:t>完成1302.9亿元，占GDP比重10.9%，占服务业比重达18.4%</w:t>
      </w:r>
      <w:r>
        <w:rPr>
          <w:rFonts w:ascii="仿宋" w:hAnsi="仿宋" w:eastAsia="仿宋_GB2312" w:cs="宋体"/>
          <w:bCs/>
          <w:color w:val="000000" w:themeColor="text1"/>
          <w:kern w:val="0"/>
          <w:sz w:val="32"/>
          <w:szCs w:val="32"/>
          <w14:textFill>
            <w14:solidFill>
              <w14:schemeClr w14:val="tx1"/>
            </w14:solidFill>
          </w14:textFill>
        </w:rPr>
        <w:t>；</w:t>
      </w:r>
      <w:r>
        <w:rPr>
          <w:rFonts w:hint="eastAsia" w:ascii="仿宋" w:hAnsi="仿宋" w:eastAsia="仿宋_GB2312" w:cs="宋体"/>
          <w:bCs/>
          <w:color w:val="000000" w:themeColor="text1"/>
          <w:kern w:val="0"/>
          <w:sz w:val="32"/>
          <w:szCs w:val="32"/>
          <w14:textFill>
            <w14:solidFill>
              <w14:schemeClr w14:val="tx1"/>
            </w14:solidFill>
          </w14:textFill>
        </w:rPr>
        <w:t>全市境内外上市公司49家、新三板挂牌公司181家；金融机构各项贷款余额2.8万亿元，存贷比达114%，创历史新高。</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推动科技资本与产业深度融合，建立科技贷款风险分担机制，鼓励金融机构加大对科技型企业支持力度，持续完善科技金融服务体系，参股成立政策性担保机构——郑州中小企业担保有限公司，设立郑洛新国家自主创新示范区成果转化引导基金，开展科技金融资助，初步构建“郑科贷＋政策性担保＋政府引导基金＋科技金融资助”四驱联动服务体系。开发上线郑州市科技金融公共服务平台，成功召开“郑科贷”业务银企对接会，230多家科技型企业与银行签订融资意向。</w:t>
      </w:r>
    </w:p>
    <w:p>
      <w:pPr>
        <w:pStyle w:val="3"/>
        <w:snapToGrid w:val="0"/>
        <w:spacing w:before="0" w:after="0" w:line="360" w:lineRule="auto"/>
        <w:ind w:firstLine="643" w:firstLineChars="200"/>
        <w:rPr>
          <w:rFonts w:ascii="仿宋_GB2312" w:hAnsi="仿宋_GB2312" w:eastAsia="仿宋_GB2312" w:cs="仿宋_GB2312"/>
          <w:color w:val="000000" w:themeColor="text1"/>
          <w14:textFill>
            <w14:solidFill>
              <w14:schemeClr w14:val="tx1"/>
            </w14:solidFill>
          </w14:textFill>
        </w:rPr>
      </w:pPr>
      <w:bookmarkStart w:id="30" w:name="_Toc2532"/>
      <w:r>
        <w:rPr>
          <w:rFonts w:hint="eastAsia" w:ascii="仿宋_GB2312" w:hAnsi="仿宋_GB2312" w:eastAsia="仿宋_GB2312" w:cs="仿宋_GB2312"/>
          <w:color w:val="000000" w:themeColor="text1"/>
          <w14:textFill>
            <w14:solidFill>
              <w14:schemeClr w14:val="tx1"/>
            </w14:solidFill>
          </w14:textFill>
        </w:rPr>
        <w:t>（二）面临形势</w:t>
      </w:r>
      <w:bookmarkEnd w:id="30"/>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十四五”时期是我国全面建成小康社会、实现第一个百年奋斗目标之后，乘势而上开启全面建设社会主义现代化国家新征程、向第二个百年奋斗目标进军的第一个五年，也是郑州加快国家中心城市现代化建设、推进黄河流域生态保护和高质量发展重大国家战略实施的关键阶段。</w:t>
      </w:r>
    </w:p>
    <w:p>
      <w:pPr>
        <w:snapToGrid w:val="0"/>
        <w:spacing w:line="360" w:lineRule="auto"/>
        <w:ind w:firstLine="640" w:firstLineChars="200"/>
        <w:rPr>
          <w:rFonts w:ascii="Times New Roman" w:hAnsi="Times New Roman" w:eastAsia="仿宋_GB2312" w:cs="Times New Roman"/>
          <w:color w:val="000000"/>
          <w:sz w:val="28"/>
          <w:szCs w:val="28"/>
        </w:rPr>
      </w:pPr>
      <w:r>
        <w:rPr>
          <w:rFonts w:hint="eastAsia" w:ascii="仿宋" w:hAnsi="仿宋" w:eastAsia="仿宋_GB2312" w:cs="宋体"/>
          <w:bCs/>
          <w:color w:val="000000" w:themeColor="text1"/>
          <w:kern w:val="0"/>
          <w:sz w:val="32"/>
          <w:szCs w:val="32"/>
          <w14:textFill>
            <w14:solidFill>
              <w14:schemeClr w14:val="tx1"/>
            </w14:solidFill>
          </w14:textFill>
        </w:rPr>
        <w:t>从国际环境看，世界百年未有之大变局进入加速演变期，技术、资本、人才、信息等创新要素在全球范围内加速流动，新一轮科技革命和产业变革周期更短、迭代更快，全球新冠肺炎疫情大流行带来巨大变量，经济全球化遭遇逆流，国际产业分工格局调整和竞争加剧，主要大国把科学技术作为本轮战略博弈的核心，把推动新兴产业发展作为国家或地区的重要发展战略，</w:t>
      </w:r>
      <w:r>
        <w:rPr>
          <w:rFonts w:ascii="仿宋" w:hAnsi="仿宋" w:eastAsia="仿宋_GB2312" w:cs="宋体"/>
          <w:bCs/>
          <w:color w:val="000000" w:themeColor="text1"/>
          <w:kern w:val="0"/>
          <w:sz w:val="32"/>
          <w:szCs w:val="32"/>
          <w14:textFill>
            <w14:solidFill>
              <w14:schemeClr w14:val="tx1"/>
            </w14:solidFill>
          </w14:textFill>
        </w:rPr>
        <w:t>美国实</w:t>
      </w:r>
      <w:r>
        <w:rPr>
          <w:rFonts w:hint="eastAsia" w:ascii="仿宋" w:hAnsi="仿宋" w:eastAsia="仿宋_GB2312" w:cs="宋体"/>
          <w:bCs/>
          <w:color w:val="000000" w:themeColor="text1"/>
          <w:kern w:val="0"/>
          <w:sz w:val="32"/>
          <w:szCs w:val="32"/>
          <w14:textFill>
            <w14:solidFill>
              <w14:schemeClr w14:val="tx1"/>
            </w14:solidFill>
          </w14:textFill>
        </w:rPr>
        <w:t>施“再工业化”战略推出“先进制造伙伴计划”等措施</w:t>
      </w:r>
      <w:r>
        <w:rPr>
          <w:rFonts w:hint="eastAsia" w:ascii="仿宋" w:hAnsi="仿宋" w:eastAsia="仿宋_GB2312" w:cs="宋体"/>
          <w:bCs/>
          <w:color w:val="000000" w:themeColor="text1"/>
          <w:kern w:val="0"/>
          <w:szCs w:val="32"/>
          <w14:textFill>
            <w14:solidFill>
              <w14:schemeClr w14:val="tx1"/>
            </w14:solidFill>
          </w14:textFill>
        </w:rPr>
        <w:t>、</w:t>
      </w:r>
      <w:r>
        <w:rPr>
          <w:rFonts w:hint="eastAsia" w:ascii="仿宋" w:hAnsi="仿宋" w:eastAsia="仿宋_GB2312" w:cs="宋体"/>
          <w:bCs/>
          <w:color w:val="000000" w:themeColor="text1"/>
          <w:kern w:val="0"/>
          <w:sz w:val="32"/>
          <w:szCs w:val="32"/>
          <w14:textFill>
            <w14:solidFill>
              <w14:schemeClr w14:val="tx1"/>
            </w14:solidFill>
          </w14:textFill>
        </w:rPr>
        <w:t>实施量子信息科学国家战略等措施，德国推出“工业</w:t>
      </w:r>
      <w:r>
        <w:rPr>
          <w:rFonts w:ascii="仿宋" w:hAnsi="仿宋" w:eastAsia="仿宋_GB2312" w:cs="宋体"/>
          <w:bCs/>
          <w:color w:val="000000" w:themeColor="text1"/>
          <w:kern w:val="0"/>
          <w:sz w:val="32"/>
          <w:szCs w:val="32"/>
          <w14:textFill>
            <w14:solidFill>
              <w14:schemeClr w14:val="tx1"/>
            </w14:solidFill>
          </w14:textFill>
        </w:rPr>
        <w:t>4.0</w:t>
      </w:r>
      <w:r>
        <w:rPr>
          <w:rFonts w:hint="eastAsia" w:ascii="仿宋" w:hAnsi="仿宋" w:eastAsia="仿宋_GB2312" w:cs="宋体"/>
          <w:bCs/>
          <w:color w:val="000000" w:themeColor="text1"/>
          <w:kern w:val="0"/>
          <w:sz w:val="32"/>
          <w:szCs w:val="32"/>
          <w14:textFill>
            <w14:solidFill>
              <w14:schemeClr w14:val="tx1"/>
            </w14:solidFill>
          </w14:textFill>
        </w:rPr>
        <w:t>”，日本推行“第四次工业革命”计划，韩国推行《低碳绿色增长基本法》， 提出了“绿色新政”等，都旨在抢占战略性新兴产业发展制高点。国际间科技竞争趋向白热化，技术的局部甚至全面封锁将成为我国开展国际科技合作面临的常态，增强自身科技创新能力，加快关键技术自主可控愈加重要，将成为实现前沿技术引领、培育发展新的经济增长极、抢占竞争制高点的重要突破口。</w:t>
      </w:r>
      <w:r>
        <w:rPr>
          <w:rFonts w:hint="eastAsia" w:eastAsia="仿宋_GB2312"/>
          <w:bCs/>
          <w:sz w:val="32"/>
          <w:szCs w:val="32"/>
          <w:lang w:val="en"/>
        </w:rPr>
        <w:t>国际贸易新规则也带来全球服务分工格局深度调整，发达经济体致力于保持服务业领先优势，新兴市场国家在推动工业化进程中着力弥补服务业发展短板，产业结构服务化趋势日益明显，服务贸易和投资全球化快速发展，服务业已成为促进全球产业变革的重要力量和国际竞争与合作的主战场。</w:t>
      </w:r>
      <w:r>
        <w:rPr>
          <w:rFonts w:hint="eastAsia" w:eastAsia="仿宋_GB2312"/>
          <w:color w:val="000000"/>
          <w:sz w:val="28"/>
          <w:szCs w:val="28"/>
        </w:rPr>
        <w:t xml:space="preserve"> </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从国内大势看，我国发展进入新阶段，已由高速增长阶段转向高质量发展阶段，全面步入生态文明时代、数字时代，构建以国内大循环为主体、国际国内双循环相互促进的新发展格局，对新技术、创新创业、检验检测、质量标准、现代金融体系等相关服务业发展提出了更高的要求，提供了倒逼压力，</w:t>
      </w:r>
      <w:r>
        <w:rPr>
          <w:rFonts w:ascii="仿宋" w:hAnsi="仿宋" w:eastAsia="仿宋_GB2312" w:cs="宋体"/>
          <w:bCs/>
          <w:color w:val="000000" w:themeColor="text1"/>
          <w:kern w:val="0"/>
          <w:sz w:val="32"/>
          <w:szCs w:val="32"/>
          <w14:textFill>
            <w14:solidFill>
              <w14:schemeClr w14:val="tx1"/>
            </w14:solidFill>
          </w14:textFill>
        </w:rPr>
        <w:t>对服务</w:t>
      </w:r>
      <w:r>
        <w:rPr>
          <w:rFonts w:hint="eastAsia" w:ascii="仿宋" w:hAnsi="仿宋" w:eastAsia="仿宋_GB2312" w:cs="宋体"/>
          <w:bCs/>
          <w:color w:val="000000" w:themeColor="text1"/>
          <w:kern w:val="0"/>
          <w:sz w:val="32"/>
          <w:szCs w:val="32"/>
          <w14:textFill>
            <w14:solidFill>
              <w14:schemeClr w14:val="tx1"/>
            </w14:solidFill>
          </w14:textFill>
        </w:rPr>
        <w:t>业服务</w:t>
      </w:r>
      <w:r>
        <w:rPr>
          <w:rFonts w:ascii="仿宋" w:hAnsi="仿宋" w:eastAsia="仿宋_GB2312" w:cs="宋体"/>
          <w:bCs/>
          <w:color w:val="000000" w:themeColor="text1"/>
          <w:kern w:val="0"/>
          <w:sz w:val="32"/>
          <w:szCs w:val="32"/>
          <w14:textFill>
            <w14:solidFill>
              <w14:schemeClr w14:val="tx1"/>
            </w14:solidFill>
          </w14:textFill>
        </w:rPr>
        <w:t>质量要求相较于以往在快速提升，</w:t>
      </w:r>
      <w:r>
        <w:rPr>
          <w:rFonts w:hint="eastAsia" w:ascii="仿宋" w:hAnsi="仿宋" w:eastAsia="仿宋_GB2312" w:cs="宋体"/>
          <w:bCs/>
          <w:color w:val="000000" w:themeColor="text1"/>
          <w:kern w:val="0"/>
          <w:sz w:val="32"/>
          <w:szCs w:val="32"/>
          <w14:textFill>
            <w14:solidFill>
              <w14:schemeClr w14:val="tx1"/>
            </w14:solidFill>
          </w14:textFill>
        </w:rPr>
        <w:t>改革攻坚步伐持续加快，对外开放和市场准入有序扩大，新业态和新模式不断涌现，服务业发展将释放巨大潜能，成为引领下一轮经济增长的重要引擎。相关</w:t>
      </w:r>
      <w:r>
        <w:rPr>
          <w:rFonts w:ascii="仿宋" w:hAnsi="仿宋" w:eastAsia="仿宋_GB2312" w:cs="宋体"/>
          <w:bCs/>
          <w:color w:val="000000" w:themeColor="text1"/>
          <w:kern w:val="0"/>
          <w:sz w:val="32"/>
          <w:szCs w:val="32"/>
          <w14:textFill>
            <w14:solidFill>
              <w14:schemeClr w14:val="tx1"/>
            </w14:solidFill>
          </w14:textFill>
        </w:rPr>
        <w:t>服务业产业格局</w:t>
      </w:r>
      <w:r>
        <w:rPr>
          <w:rFonts w:hint="eastAsia" w:ascii="仿宋" w:hAnsi="仿宋" w:eastAsia="仿宋_GB2312" w:cs="宋体"/>
          <w:bCs/>
          <w:color w:val="000000" w:themeColor="text1"/>
          <w:kern w:val="0"/>
          <w:sz w:val="32"/>
          <w:szCs w:val="32"/>
          <w14:textFill>
            <w14:solidFill>
              <w14:schemeClr w14:val="tx1"/>
            </w14:solidFill>
          </w14:textFill>
        </w:rPr>
        <w:t>也在逐步发展变化</w:t>
      </w:r>
      <w:r>
        <w:rPr>
          <w:rFonts w:ascii="仿宋" w:hAnsi="仿宋" w:eastAsia="仿宋_GB2312" w:cs="宋体"/>
          <w:bCs/>
          <w:color w:val="000000" w:themeColor="text1"/>
          <w:kern w:val="0"/>
          <w:sz w:val="32"/>
          <w:szCs w:val="32"/>
          <w14:textFill>
            <w14:solidFill>
              <w14:schemeClr w14:val="tx1"/>
            </w14:solidFill>
          </w14:textFill>
        </w:rPr>
        <w:t>，产业集聚、融合发展态势愈发凸显，</w:t>
      </w:r>
      <w:r>
        <w:rPr>
          <w:rFonts w:hint="eastAsia" w:ascii="仿宋" w:hAnsi="仿宋" w:eastAsia="仿宋_GB2312" w:cs="宋体"/>
          <w:bCs/>
          <w:color w:val="000000" w:themeColor="text1"/>
          <w:kern w:val="0"/>
          <w:sz w:val="32"/>
          <w:szCs w:val="32"/>
          <w14:textFill>
            <w14:solidFill>
              <w14:schemeClr w14:val="tx1"/>
            </w14:solidFill>
          </w14:textFill>
        </w:rPr>
        <w:t>新技术、新产业、新模式、新业态蓬勃发展，</w:t>
      </w:r>
      <w:r>
        <w:rPr>
          <w:rFonts w:ascii="仿宋" w:hAnsi="仿宋" w:eastAsia="仿宋_GB2312" w:cs="宋体"/>
          <w:bCs/>
          <w:color w:val="000000" w:themeColor="text1"/>
          <w:kern w:val="0"/>
          <w:sz w:val="32"/>
          <w:szCs w:val="32"/>
          <w14:textFill>
            <w14:solidFill>
              <w14:schemeClr w14:val="tx1"/>
            </w14:solidFill>
          </w14:textFill>
        </w:rPr>
        <w:t>服务产品、服务业态、服务模式推陈出新，</w:t>
      </w:r>
      <w:r>
        <w:rPr>
          <w:rFonts w:hint="eastAsia" w:ascii="仿宋" w:hAnsi="仿宋" w:eastAsia="仿宋_GB2312" w:cs="宋体"/>
          <w:bCs/>
          <w:color w:val="000000" w:themeColor="text1"/>
          <w:kern w:val="0"/>
          <w:sz w:val="32"/>
          <w:szCs w:val="32"/>
          <w14:textFill>
            <w14:solidFill>
              <w14:schemeClr w14:val="tx1"/>
            </w14:solidFill>
          </w14:textFill>
        </w:rPr>
        <w:t>相关</w:t>
      </w:r>
      <w:r>
        <w:rPr>
          <w:rFonts w:ascii="仿宋" w:hAnsi="仿宋" w:eastAsia="仿宋_GB2312" w:cs="宋体"/>
          <w:bCs/>
          <w:color w:val="000000" w:themeColor="text1"/>
          <w:kern w:val="0"/>
          <w:sz w:val="32"/>
          <w:szCs w:val="32"/>
          <w14:textFill>
            <w14:solidFill>
              <w14:schemeClr w14:val="tx1"/>
            </w14:solidFill>
          </w14:textFill>
        </w:rPr>
        <w:t>服务业</w:t>
      </w:r>
      <w:r>
        <w:rPr>
          <w:rFonts w:hint="eastAsia" w:ascii="仿宋" w:hAnsi="仿宋" w:eastAsia="仿宋_GB2312" w:cs="宋体"/>
          <w:bCs/>
          <w:color w:val="000000" w:themeColor="text1"/>
          <w:kern w:val="0"/>
          <w:sz w:val="32"/>
          <w:szCs w:val="32"/>
          <w14:textFill>
            <w14:solidFill>
              <w14:schemeClr w14:val="tx1"/>
            </w14:solidFill>
          </w14:textFill>
        </w:rPr>
        <w:t>助推、支撑作用</w:t>
      </w:r>
      <w:r>
        <w:rPr>
          <w:rFonts w:ascii="仿宋" w:hAnsi="仿宋" w:eastAsia="仿宋_GB2312" w:cs="宋体"/>
          <w:bCs/>
          <w:color w:val="000000" w:themeColor="text1"/>
          <w:kern w:val="0"/>
          <w:sz w:val="32"/>
          <w:szCs w:val="32"/>
          <w14:textFill>
            <w14:solidFill>
              <w14:schemeClr w14:val="tx1"/>
            </w14:solidFill>
          </w14:textFill>
        </w:rPr>
        <w:t>日益明显。</w:t>
      </w:r>
      <w:r>
        <w:rPr>
          <w:rFonts w:hint="eastAsia" w:ascii="仿宋" w:hAnsi="仿宋" w:eastAsia="仿宋_GB2312" w:cs="宋体"/>
          <w:bCs/>
          <w:color w:val="000000" w:themeColor="text1"/>
          <w:kern w:val="0"/>
          <w:sz w:val="32"/>
          <w:szCs w:val="32"/>
          <w14:textFill>
            <w14:solidFill>
              <w14:schemeClr w14:val="tx1"/>
            </w14:solidFill>
          </w14:textFill>
        </w:rPr>
        <w:t>研发及知识产权服务在战略性新兴产业发展中的核心作用不断增强，随着我国产业技术水平的不断提高，国内产业与国际产业间的技术代差将逐步缩小，我国战略性新兴产业创新将向</w:t>
      </w:r>
      <w:r>
        <w:rPr>
          <w:rFonts w:hint="eastAsia" w:ascii="仿宋" w:hAnsi="仿宋" w:eastAsia="仿宋_GB2312" w:cs="宋体"/>
          <w:bCs/>
          <w:color w:val="000000" w:themeColor="text1"/>
          <w:kern w:val="0"/>
          <w:sz w:val="32"/>
          <w:szCs w:val="32"/>
          <w:lang w:eastAsia="zh-CN"/>
          <w14:textFill>
            <w14:solidFill>
              <w14:schemeClr w14:val="tx1"/>
            </w14:solidFill>
          </w14:textFill>
        </w:rPr>
        <w:t>基础性</w:t>
      </w:r>
      <w:r>
        <w:rPr>
          <w:rFonts w:hint="eastAsia" w:ascii="仿宋" w:hAnsi="仿宋" w:eastAsia="仿宋_GB2312" w:cs="宋体"/>
          <w:bCs/>
          <w:color w:val="000000" w:themeColor="text1"/>
          <w:kern w:val="0"/>
          <w:sz w:val="32"/>
          <w:szCs w:val="32"/>
          <w14:textFill>
            <w14:solidFill>
              <w14:schemeClr w14:val="tx1"/>
            </w14:solidFill>
          </w14:textFill>
        </w:rPr>
        <w:t>创新、引领性创新转型，未来将更加注重前瞻性基础研究、应用基础研究，突出关键共性技术、前沿引领技术、现代工程技术和颠覆性技术创新。同时，检验检测认证服务、标准化服务、知识产权及相关服务、创新创业服务、现代金融服务等相关服务业纳入</w:t>
      </w:r>
      <w:r>
        <w:rPr>
          <w:rFonts w:ascii="仿宋" w:hAnsi="仿宋" w:eastAsia="仿宋_GB2312" w:cs="宋体"/>
          <w:bCs/>
          <w:color w:val="000000" w:themeColor="text1"/>
          <w:kern w:val="0"/>
          <w:sz w:val="32"/>
          <w:szCs w:val="32"/>
          <w14:textFill>
            <w14:solidFill>
              <w14:schemeClr w14:val="tx1"/>
            </w14:solidFill>
          </w14:textFill>
        </w:rPr>
        <w:t>国家</w:t>
      </w:r>
      <w:r>
        <w:rPr>
          <w:rFonts w:hint="eastAsia" w:ascii="仿宋" w:hAnsi="仿宋" w:eastAsia="仿宋_GB2312" w:cs="宋体"/>
          <w:bCs/>
          <w:color w:val="000000" w:themeColor="text1"/>
          <w:kern w:val="0"/>
          <w:sz w:val="32"/>
          <w:szCs w:val="32"/>
          <w14:textFill>
            <w14:solidFill>
              <w14:schemeClr w14:val="tx1"/>
            </w14:solidFill>
          </w14:textFill>
        </w:rPr>
        <w:t>战略性新兴产业分类目录，</w:t>
      </w:r>
      <w:r>
        <w:rPr>
          <w:rFonts w:ascii="仿宋" w:hAnsi="仿宋" w:eastAsia="仿宋_GB2312" w:cs="宋体"/>
          <w:bCs/>
          <w:color w:val="000000" w:themeColor="text1"/>
          <w:kern w:val="0"/>
          <w:sz w:val="32"/>
          <w:szCs w:val="32"/>
          <w14:textFill>
            <w14:solidFill>
              <w14:schemeClr w14:val="tx1"/>
            </w14:solidFill>
          </w14:textFill>
        </w:rPr>
        <w:t>为</w:t>
      </w:r>
      <w:r>
        <w:rPr>
          <w:rFonts w:hint="eastAsia" w:ascii="仿宋" w:hAnsi="仿宋" w:eastAsia="仿宋_GB2312" w:cs="宋体"/>
          <w:bCs/>
          <w:color w:val="000000" w:themeColor="text1"/>
          <w:kern w:val="0"/>
          <w:sz w:val="32"/>
          <w:szCs w:val="32"/>
          <w14:textFill>
            <w14:solidFill>
              <w14:schemeClr w14:val="tx1"/>
            </w14:solidFill>
          </w14:textFill>
        </w:rPr>
        <w:t>相关</w:t>
      </w:r>
      <w:r>
        <w:rPr>
          <w:rFonts w:ascii="仿宋" w:hAnsi="仿宋" w:eastAsia="仿宋_GB2312" w:cs="宋体"/>
          <w:bCs/>
          <w:color w:val="000000" w:themeColor="text1"/>
          <w:kern w:val="0"/>
          <w:sz w:val="32"/>
          <w:szCs w:val="32"/>
          <w14:textFill>
            <w14:solidFill>
              <w14:schemeClr w14:val="tx1"/>
            </w14:solidFill>
          </w14:textFill>
        </w:rPr>
        <w:t>服务业加快发展</w:t>
      </w:r>
      <w:r>
        <w:rPr>
          <w:rFonts w:hint="eastAsia" w:ascii="仿宋" w:hAnsi="仿宋" w:eastAsia="仿宋_GB2312" w:cs="宋体"/>
          <w:bCs/>
          <w:color w:val="000000" w:themeColor="text1"/>
          <w:kern w:val="0"/>
          <w:sz w:val="32"/>
          <w:szCs w:val="32"/>
          <w14:textFill>
            <w14:solidFill>
              <w14:schemeClr w14:val="tx1"/>
            </w14:solidFill>
          </w14:textFill>
        </w:rPr>
        <w:t>营造了更优的政策环境和更广阔的发展空间</w:t>
      </w:r>
      <w:r>
        <w:rPr>
          <w:rFonts w:ascii="仿宋" w:hAnsi="仿宋" w:eastAsia="仿宋_GB2312" w:cs="宋体"/>
          <w:bCs/>
          <w:color w:val="000000" w:themeColor="text1"/>
          <w:kern w:val="0"/>
          <w:sz w:val="32"/>
          <w:szCs w:val="32"/>
          <w14:textFill>
            <w14:solidFill>
              <w14:schemeClr w14:val="tx1"/>
            </w14:solidFill>
          </w14:textFill>
        </w:rPr>
        <w:t>。</w:t>
      </w:r>
      <w:r>
        <w:rPr>
          <w:rFonts w:hint="eastAsia"/>
          <w:color w:val="000000"/>
          <w:sz w:val="28"/>
          <w:szCs w:val="28"/>
        </w:rPr>
        <w:t xml:space="preserve"> </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郑州已经发展成为经济总量上万亿、人口过千万的特大城市，区位交通便利，人力资源丰富，市场空间广阔，随着黄河流域生态保护和高质量发展、中部地区崛起等国家战略的深入实施，郑州在构建新发展格局中的比较优势更加突出。战略性新兴产业相关服务业政策体系和营商环境持续完善和优化，新技术与创新创业服务等产业支撑带动能力显著增强，新兴服务业蓬勃发展，进入提速发展、</w:t>
      </w:r>
      <w:r>
        <w:rPr>
          <w:rFonts w:ascii="仿宋" w:hAnsi="仿宋" w:eastAsia="仿宋_GB2312" w:cs="宋体"/>
          <w:bCs/>
          <w:color w:val="000000" w:themeColor="text1"/>
          <w:kern w:val="0"/>
          <w:sz w:val="32"/>
          <w:szCs w:val="32"/>
          <w14:textFill>
            <w14:solidFill>
              <w14:schemeClr w14:val="tx1"/>
            </w14:solidFill>
          </w14:textFill>
        </w:rPr>
        <w:t>良性发展</w:t>
      </w:r>
      <w:r>
        <w:rPr>
          <w:rFonts w:hint="eastAsia" w:ascii="仿宋" w:hAnsi="仿宋" w:eastAsia="仿宋_GB2312" w:cs="宋体"/>
          <w:bCs/>
          <w:color w:val="000000" w:themeColor="text1"/>
          <w:kern w:val="0"/>
          <w:sz w:val="32"/>
          <w:szCs w:val="32"/>
          <w14:textFill>
            <w14:solidFill>
              <w14:schemeClr w14:val="tx1"/>
            </w14:solidFill>
          </w14:textFill>
        </w:rPr>
        <w:t>新阶段。同时，郑州市战略性新兴产业相关服务业发展也面临一些瓶颈和问题：产业整体规模仍然偏小，</w:t>
      </w:r>
      <w:r>
        <w:rPr>
          <w:rFonts w:ascii="仿宋" w:hAnsi="仿宋" w:eastAsia="仿宋_GB2312" w:cs="宋体"/>
          <w:bCs/>
          <w:color w:val="000000" w:themeColor="text1"/>
          <w:kern w:val="0"/>
          <w:sz w:val="32"/>
          <w:szCs w:val="32"/>
          <w14:textFill>
            <w14:solidFill>
              <w14:schemeClr w14:val="tx1"/>
            </w14:solidFill>
          </w14:textFill>
        </w:rPr>
        <w:t>科技成果转化</w:t>
      </w:r>
      <w:r>
        <w:rPr>
          <w:rFonts w:hint="eastAsia" w:ascii="仿宋" w:hAnsi="仿宋" w:eastAsia="仿宋_GB2312" w:cs="宋体"/>
          <w:bCs/>
          <w:color w:val="000000" w:themeColor="text1"/>
          <w:kern w:val="0"/>
          <w:sz w:val="32"/>
          <w:szCs w:val="32"/>
          <w14:textFill>
            <w14:solidFill>
              <w14:schemeClr w14:val="tx1"/>
            </w14:solidFill>
          </w14:textFill>
        </w:rPr>
        <w:t>效率较低，郑州技术合同交易额不足西安的1</w:t>
      </w:r>
      <w:r>
        <w:rPr>
          <w:rFonts w:ascii="仿宋" w:hAnsi="仿宋" w:eastAsia="仿宋_GB2312" w:cs="宋体"/>
          <w:bCs/>
          <w:color w:val="000000" w:themeColor="text1"/>
          <w:kern w:val="0"/>
          <w:sz w:val="32"/>
          <w:szCs w:val="32"/>
          <w14:textFill>
            <w14:solidFill>
              <w14:schemeClr w14:val="tx1"/>
            </w14:solidFill>
          </w14:textFill>
        </w:rPr>
        <w:t>/10</w:t>
      </w:r>
      <w:r>
        <w:rPr>
          <w:rFonts w:hint="eastAsia" w:ascii="仿宋" w:hAnsi="仿宋" w:eastAsia="仿宋_GB2312" w:cs="宋体"/>
          <w:bCs/>
          <w:color w:val="000000" w:themeColor="text1"/>
          <w:kern w:val="0"/>
          <w:sz w:val="32"/>
          <w:szCs w:val="32"/>
          <w14:textFill>
            <w14:solidFill>
              <w14:schemeClr w14:val="tx1"/>
            </w14:solidFill>
          </w14:textFill>
        </w:rPr>
        <w:t>。检验检测、第三方研发、委托研发等专业服务发展较慢，难以匹配战略性新兴产业关键核心技术研发的需求。基础承载能力不足、市场化程度不高、市场主体发展不充分等制约还比较突出，引领支撑作用尚未得到充分发挥。金融支持、政策供给等方面还相对滞后，统计监测数据支撑产业分析有待加强。对此，必须保持清醒认识，坚持目标导向和问题导向相统一，准确把握未来一段时期面临的新形势、新任务、新要求，在区域经济极化与分化过程中，在构建新发展格局中，郑州必须要把握新形势、抢抓新机遇，创造新供给，</w:t>
      </w:r>
      <w:r>
        <w:rPr>
          <w:rFonts w:ascii="仿宋" w:hAnsi="仿宋" w:eastAsia="仿宋_GB2312" w:cs="宋体"/>
          <w:bCs/>
          <w:color w:val="000000" w:themeColor="text1"/>
          <w:kern w:val="0"/>
          <w:sz w:val="32"/>
          <w:szCs w:val="32"/>
          <w14:textFill>
            <w14:solidFill>
              <w14:schemeClr w14:val="tx1"/>
            </w14:solidFill>
          </w14:textFill>
        </w:rPr>
        <w:t>满足新需求，</w:t>
      </w:r>
      <w:r>
        <w:rPr>
          <w:rFonts w:hint="eastAsia" w:ascii="仿宋" w:hAnsi="仿宋" w:eastAsia="仿宋_GB2312" w:cs="宋体"/>
          <w:bCs/>
          <w:color w:val="000000" w:themeColor="text1"/>
          <w:kern w:val="0"/>
          <w:sz w:val="32"/>
          <w:szCs w:val="32"/>
          <w14:textFill>
            <w14:solidFill>
              <w14:schemeClr w14:val="tx1"/>
            </w14:solidFill>
          </w14:textFill>
        </w:rPr>
        <w:t xml:space="preserve">服务新发展，加快推动战略性新兴产业相关服务业发展再上新台阶。 </w:t>
      </w:r>
    </w:p>
    <w:p>
      <w:pPr>
        <w:pStyle w:val="2"/>
        <w:snapToGrid w:val="0"/>
        <w:spacing w:before="0" w:after="0" w:line="360" w:lineRule="auto"/>
        <w:ind w:firstLine="640" w:firstLineChars="200"/>
        <w:rPr>
          <w:rFonts w:ascii="黑体" w:hAnsi="黑体" w:eastAsia="黑体"/>
          <w:b w:val="0"/>
          <w:color w:val="000000" w:themeColor="text1"/>
          <w:sz w:val="32"/>
          <w:szCs w:val="32"/>
          <w14:textFill>
            <w14:solidFill>
              <w14:schemeClr w14:val="tx1"/>
            </w14:solidFill>
          </w14:textFill>
        </w:rPr>
      </w:pPr>
      <w:bookmarkStart w:id="31" w:name="_Toc24978"/>
      <w:r>
        <w:rPr>
          <w:rFonts w:hint="eastAsia" w:ascii="黑体" w:hAnsi="黑体" w:eastAsia="黑体"/>
          <w:b w:val="0"/>
          <w:color w:val="000000" w:themeColor="text1"/>
          <w:sz w:val="32"/>
          <w:szCs w:val="32"/>
          <w14:textFill>
            <w14:solidFill>
              <w14:schemeClr w14:val="tx1"/>
            </w14:solidFill>
          </w14:textFill>
        </w:rPr>
        <w:t>二、总体思路和发展目标</w:t>
      </w:r>
      <w:bookmarkEnd w:id="31"/>
    </w:p>
    <w:p>
      <w:pPr>
        <w:pStyle w:val="3"/>
        <w:snapToGrid w:val="0"/>
        <w:spacing w:before="0" w:after="0" w:line="360" w:lineRule="auto"/>
        <w:ind w:firstLine="643" w:firstLineChars="200"/>
        <w:rPr>
          <w:rFonts w:ascii="仿宋_GB2312" w:hAnsi="仿宋_GB2312" w:eastAsia="仿宋_GB2312" w:cs="仿宋_GB2312"/>
          <w:color w:val="000000" w:themeColor="text1"/>
          <w14:textFill>
            <w14:solidFill>
              <w14:schemeClr w14:val="tx1"/>
            </w14:solidFill>
          </w14:textFill>
        </w:rPr>
      </w:pPr>
      <w:bookmarkStart w:id="32" w:name="_Toc3672"/>
      <w:r>
        <w:rPr>
          <w:rFonts w:hint="eastAsia" w:ascii="仿宋_GB2312" w:hAnsi="仿宋_GB2312" w:eastAsia="仿宋_GB2312" w:cs="仿宋_GB2312"/>
          <w:color w:val="000000" w:themeColor="text1"/>
          <w14:textFill>
            <w14:solidFill>
              <w14:schemeClr w14:val="tx1"/>
            </w14:solidFill>
          </w14:textFill>
        </w:rPr>
        <w:t>（一）指导思想</w:t>
      </w:r>
      <w:bookmarkEnd w:id="32"/>
    </w:p>
    <w:p>
      <w:pPr>
        <w:snapToGrid w:val="0"/>
        <w:spacing w:line="360" w:lineRule="auto"/>
        <w:ind w:firstLine="640" w:firstLineChars="200"/>
        <w:rPr>
          <w:rFonts w:ascii="微软雅黑" w:hAnsi="微软雅黑" w:eastAsia="微软雅黑"/>
          <w:color w:val="000000" w:themeColor="text1"/>
          <w:sz w:val="32"/>
          <w:szCs w:val="32"/>
          <w:shd w:val="clear" w:color="auto" w:fill="FFFFFF"/>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深入贯彻习近平总书记系列重要讲话精神，坚定不移贯彻创新、协调、绿色、开放、共享的新发展理念，全面实施创新驱动发展战略，以引领创新发展、助推供给侧结构性改革为主线，以创新创业服务、现代金融服务、研发及知识产权服务、检验检测认证服务、标准化服务、航空运营服务等六大产业为发展重点，以创新为引领发展的第一动力，遵循国际化、集群化、规模化、专业化发展方向，实施五大重点工程，大力构建功能完备、结构优化、质量一流、发展均衡、服务高效的现代服务体系，巩固提升服务功能，积极增强信息资源交流和产业创新能力，大力培育现代服务业新业态新模式，打造成为</w:t>
      </w:r>
      <w:r>
        <w:rPr>
          <w:rFonts w:ascii="仿宋" w:hAnsi="仿宋" w:eastAsia="仿宋_GB2312" w:cs="宋体"/>
          <w:bCs/>
          <w:color w:val="000000" w:themeColor="text1"/>
          <w:kern w:val="0"/>
          <w:sz w:val="32"/>
          <w:szCs w:val="32"/>
          <w14:textFill>
            <w14:solidFill>
              <w14:schemeClr w14:val="tx1"/>
            </w14:solidFill>
          </w14:textFill>
        </w:rPr>
        <w:t>拉动经济增长的“新引擎”，</w:t>
      </w:r>
      <w:r>
        <w:rPr>
          <w:rFonts w:hint="eastAsia" w:ascii="仿宋" w:hAnsi="仿宋" w:eastAsia="仿宋_GB2312" w:cs="宋体"/>
          <w:bCs/>
          <w:color w:val="000000" w:themeColor="text1"/>
          <w:kern w:val="0"/>
          <w:sz w:val="32"/>
          <w:szCs w:val="32"/>
          <w14:textFill>
            <w14:solidFill>
              <w14:schemeClr w14:val="tx1"/>
            </w14:solidFill>
          </w14:textFill>
        </w:rPr>
        <w:t>成为全国重要的战略性新兴产业相关服务业发展策源地和示范区。</w:t>
      </w:r>
    </w:p>
    <w:p>
      <w:pPr>
        <w:pStyle w:val="3"/>
        <w:snapToGrid w:val="0"/>
        <w:spacing w:before="0" w:after="0" w:line="360" w:lineRule="auto"/>
        <w:ind w:firstLine="643" w:firstLineChars="200"/>
        <w:rPr>
          <w:rFonts w:ascii="仿宋_GB2312" w:hAnsi="仿宋_GB2312" w:eastAsia="仿宋_GB2312" w:cs="仿宋_GB2312"/>
          <w:color w:val="000000" w:themeColor="text1"/>
          <w14:textFill>
            <w14:solidFill>
              <w14:schemeClr w14:val="tx1"/>
            </w14:solidFill>
          </w14:textFill>
        </w:rPr>
      </w:pPr>
      <w:bookmarkStart w:id="33" w:name="_Toc4041"/>
      <w:r>
        <w:rPr>
          <w:rFonts w:hint="eastAsia" w:ascii="仿宋_GB2312" w:hAnsi="仿宋_GB2312" w:eastAsia="仿宋_GB2312" w:cs="仿宋_GB2312"/>
          <w:color w:val="000000" w:themeColor="text1"/>
          <w14:textFill>
            <w14:solidFill>
              <w14:schemeClr w14:val="tx1"/>
            </w14:solidFill>
          </w14:textFill>
        </w:rPr>
        <w:t>（二）基本原则</w:t>
      </w:r>
      <w:bookmarkEnd w:id="33"/>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——政府引导、市场驱动。</w:t>
      </w:r>
      <w:r>
        <w:rPr>
          <w:rFonts w:hint="eastAsia" w:ascii="仿宋" w:hAnsi="仿宋" w:eastAsia="仿宋_GB2312" w:cs="宋体"/>
          <w:bCs/>
          <w:color w:val="000000" w:themeColor="text1"/>
          <w:kern w:val="0"/>
          <w:sz w:val="32"/>
          <w:szCs w:val="32"/>
          <w14:textFill>
            <w14:solidFill>
              <w14:schemeClr w14:val="tx1"/>
            </w14:solidFill>
          </w14:textFill>
        </w:rPr>
        <w:t>发挥市场在资源配置中的决定性作用，创新政府对服务业发展的引导作用，顺应新形势新要求，维护市场规则秩序，促进市场公平竞争，强化企业市场主体地位，激发企业创新活力，营造市场主体良性互动、要素资源高效利用的相关服务业发展环境。</w:t>
      </w:r>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——改革创新、跨界融合。</w:t>
      </w:r>
      <w:r>
        <w:rPr>
          <w:rFonts w:hint="eastAsia" w:ascii="仿宋" w:hAnsi="仿宋" w:eastAsia="仿宋_GB2312" w:cs="宋体"/>
          <w:bCs/>
          <w:color w:val="000000" w:themeColor="text1"/>
          <w:kern w:val="0"/>
          <w:sz w:val="32"/>
          <w:szCs w:val="32"/>
          <w14:textFill>
            <w14:solidFill>
              <w14:schemeClr w14:val="tx1"/>
            </w14:solidFill>
          </w14:textFill>
        </w:rPr>
        <w:t>以改革创新释放产业发展活力，进一步放宽相关服务业市场准入，鼓励引导开展服务流程、服务产品、服务方式的创新。把握数字化、网络化、智能化融合发展，推进互联网、大数据、人工智能与战略性新兴产业有机融合，促进虚拟与现实互动、线上与线下整合、技术和产业跨界融合，全面优化重构产业链、创新链、价值链。</w:t>
      </w:r>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——厚植优势、高端发展。</w:t>
      </w:r>
      <w:r>
        <w:rPr>
          <w:rFonts w:hint="eastAsia" w:ascii="仿宋" w:hAnsi="仿宋" w:eastAsia="仿宋_GB2312" w:cs="宋体"/>
          <w:bCs/>
          <w:color w:val="000000" w:themeColor="text1"/>
          <w:kern w:val="0"/>
          <w:sz w:val="32"/>
          <w:szCs w:val="32"/>
          <w14:textFill>
            <w14:solidFill>
              <w14:schemeClr w14:val="tx1"/>
            </w14:solidFill>
          </w14:textFill>
        </w:rPr>
        <w:t>培育相关服务业优势领域，培育特色服务产业，着力提升服务业发展能级，推动服务产业链和价值链向高端攀升。重点发展体现国家中心城市功能定位的高端服务业，提升郑州标准在战略性新兴产业领域的话语权和影响力。</w:t>
      </w:r>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——集约集聚、外溢辐射。</w:t>
      </w:r>
      <w:r>
        <w:rPr>
          <w:rFonts w:hint="eastAsia" w:ascii="仿宋" w:hAnsi="仿宋" w:eastAsia="仿宋_GB2312" w:cs="宋体"/>
          <w:bCs/>
          <w:color w:val="000000" w:themeColor="text1"/>
          <w:kern w:val="0"/>
          <w:sz w:val="32"/>
          <w:szCs w:val="32"/>
          <w14:textFill>
            <w14:solidFill>
              <w14:schemeClr w14:val="tx1"/>
            </w14:solidFill>
          </w14:textFill>
        </w:rPr>
        <w:t>注重产业链配套协作与专业分工，创新集聚发展模式，促进产业互促、资源共享，增强集群效应。积极参与区域和国际分工协作，打造基础设施互联互通、要素自由流动、资源充分共享、市场深度融合、互利互补共赢的相关服务业发展新格局。</w:t>
      </w:r>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——产城融合、以人为本。</w:t>
      </w:r>
      <w:r>
        <w:rPr>
          <w:rFonts w:hint="eastAsia" w:ascii="仿宋" w:hAnsi="仿宋" w:eastAsia="仿宋_GB2312" w:cs="宋体"/>
          <w:bCs/>
          <w:color w:val="000000" w:themeColor="text1"/>
          <w:kern w:val="0"/>
          <w:sz w:val="32"/>
          <w:szCs w:val="32"/>
          <w14:textFill>
            <w14:solidFill>
              <w14:schemeClr w14:val="tx1"/>
            </w14:solidFill>
          </w14:textFill>
        </w:rPr>
        <w:t>强化相关服务业对产业功能支撑，促进形成产业、城市与服务三者之间的良性互动。注重战略性新兴产业发展多元化、多层次的服务需求，扩大供给总量，优化供给结构，促进新技术及时转化为新供给，以相关服务业发展提升战略性新兴产业水平。</w:t>
      </w:r>
    </w:p>
    <w:p>
      <w:pPr>
        <w:pStyle w:val="3"/>
        <w:snapToGrid w:val="0"/>
        <w:spacing w:before="0" w:after="0" w:line="360" w:lineRule="auto"/>
        <w:ind w:firstLine="643" w:firstLineChars="200"/>
        <w:rPr>
          <w:rFonts w:ascii="仿宋_GB2312" w:hAnsi="仿宋_GB2312" w:eastAsia="仿宋_GB2312" w:cs="仿宋_GB2312"/>
          <w:color w:val="000000" w:themeColor="text1"/>
          <w14:textFill>
            <w14:solidFill>
              <w14:schemeClr w14:val="tx1"/>
            </w14:solidFill>
          </w14:textFill>
        </w:rPr>
      </w:pPr>
      <w:bookmarkStart w:id="34" w:name="_Toc19101"/>
      <w:r>
        <w:rPr>
          <w:rFonts w:hint="eastAsia" w:ascii="仿宋_GB2312" w:hAnsi="仿宋_GB2312" w:eastAsia="仿宋_GB2312" w:cs="仿宋_GB2312"/>
          <w:color w:val="000000" w:themeColor="text1"/>
          <w14:textFill>
            <w14:solidFill>
              <w14:schemeClr w14:val="tx1"/>
            </w14:solidFill>
          </w14:textFill>
        </w:rPr>
        <w:t>（三）发展布局</w:t>
      </w:r>
      <w:bookmarkEnd w:id="34"/>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紧紧抓住黄河流域生态保护和高质量发展战略历史机遇，按照“全域统筹、协同联动、点面结合、产城融合”的布局理念，基于战略性新兴产业发展战略要求和资源禀赋，整体构建“一核一带，多点联动”的空间格局，加快建设中原科技城，依托沿黄生态走廊建设沿黄科创带，在全市范围内高效配置服务业资源，全面服务郑州市战略性新兴产业高质量发展。</w:t>
      </w:r>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
          <w:bCs/>
          <w:color w:val="000000" w:themeColor="text1"/>
          <w:kern w:val="0"/>
          <w:sz w:val="32"/>
          <w:szCs w:val="32"/>
          <w14:textFill>
            <w14:solidFill>
              <w14:schemeClr w14:val="tx1"/>
            </w14:solidFill>
          </w14:textFill>
        </w:rPr>
        <w:t>一核。</w:t>
      </w:r>
      <w:r>
        <w:rPr>
          <w:rFonts w:hint="eastAsia" w:ascii="仿宋" w:hAnsi="仿宋" w:eastAsia="仿宋_GB2312" w:cs="宋体"/>
          <w:bCs/>
          <w:color w:val="000000" w:themeColor="text1"/>
          <w:kern w:val="0"/>
          <w:sz w:val="32"/>
          <w:szCs w:val="32"/>
          <w14:textFill>
            <w14:solidFill>
              <w14:schemeClr w14:val="tx1"/>
            </w14:solidFill>
          </w14:textFill>
        </w:rPr>
        <w:t>依托龙湖北部区域和云湖大数据产业园板块、龙子湖湖心岛板块、白沙科学谷板块（鲲鹏软件小镇）三大科创要素集聚区，按照“一体两翼”布局，重点发展研发及知识产权服务、现代金融服务和创新创业服务，打造全市战略性新兴产业提资增效的发动机、中原地区科技创新的策源地、黄河流域高质量发展的引领区。依托龙子湖湖心岛板块，打造形成</w:t>
      </w:r>
      <w:r>
        <w:rPr>
          <w:rFonts w:ascii="仿宋" w:hAnsi="仿宋" w:eastAsia="仿宋_GB2312" w:cs="宋体"/>
          <w:bCs/>
          <w:color w:val="000000" w:themeColor="text1"/>
          <w:kern w:val="0"/>
          <w:sz w:val="32"/>
          <w:szCs w:val="32"/>
          <w14:textFill>
            <w14:solidFill>
              <w14:schemeClr w14:val="tx1"/>
            </w14:solidFill>
          </w14:textFill>
        </w:rPr>
        <w:t>智慧岛、基金岛、众创岛、人才岛“四岛”共建产融生态圈</w:t>
      </w:r>
      <w:r>
        <w:rPr>
          <w:rFonts w:hint="eastAsia" w:ascii="仿宋" w:hAnsi="仿宋" w:eastAsia="仿宋_GB2312" w:cs="宋体"/>
          <w:bCs/>
          <w:color w:val="000000" w:themeColor="text1"/>
          <w:kern w:val="0"/>
          <w:sz w:val="32"/>
          <w:szCs w:val="32"/>
          <w14:textFill>
            <w14:solidFill>
              <w14:schemeClr w14:val="tx1"/>
            </w14:solidFill>
          </w14:textFill>
        </w:rPr>
        <w:t>。持续推进龙湖金融岛，</w:t>
      </w:r>
      <w:r>
        <w:rPr>
          <w:rFonts w:ascii="仿宋" w:hAnsi="仿宋" w:eastAsia="仿宋_GB2312" w:cs="宋体"/>
          <w:bCs/>
          <w:color w:val="000000" w:themeColor="text1"/>
          <w:kern w:val="0"/>
          <w:sz w:val="32"/>
          <w:szCs w:val="32"/>
          <w14:textFill>
            <w14:solidFill>
              <w14:schemeClr w14:val="tx1"/>
            </w14:solidFill>
          </w14:textFill>
        </w:rPr>
        <w:t>打造金融服务业、信息服务业发展双高地、双引擎的重要战略性支点。</w:t>
      </w:r>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
          <w:bCs/>
          <w:color w:val="000000" w:themeColor="text1"/>
          <w:kern w:val="0"/>
          <w:sz w:val="32"/>
          <w:szCs w:val="32"/>
          <w14:textFill>
            <w14:solidFill>
              <w14:schemeClr w14:val="tx1"/>
            </w14:solidFill>
          </w14:textFill>
        </w:rPr>
        <w:t>一带。</w:t>
      </w:r>
      <w:r>
        <w:rPr>
          <w:rFonts w:hint="eastAsia" w:ascii="仿宋" w:hAnsi="仿宋" w:eastAsia="仿宋_GB2312" w:cs="宋体"/>
          <w:bCs/>
          <w:color w:val="000000" w:themeColor="text1"/>
          <w:kern w:val="0"/>
          <w:sz w:val="32"/>
          <w:szCs w:val="32"/>
          <w14:textFill>
            <w14:solidFill>
              <w14:schemeClr w14:val="tx1"/>
            </w14:solidFill>
          </w14:textFill>
        </w:rPr>
        <w:t>聚焦战略性新兴产业发展需求，依托黄河流域生态保护和高质量发展核心示范区沿黄生态走廊，串联高新区、金水科教园区、智慧岛、鲲鹏软件小镇等创新要素集聚区，围绕研发及知识产权服务、创新创业服务、检验检测认证服务、其他相关服务等相关服务功能，高效配置服务业资源，集聚高层级科创人才要素，举全市之力加快建设，优先布局符合郑州战略性新兴产业发展需求的重大产业项目、国家级实验室、新型研发机构，积极争取国家大科学中心、重大科技基础设施、综合性产业创新中心等在郑落地。</w:t>
      </w:r>
    </w:p>
    <w:p>
      <w:pPr>
        <w:snapToGrid w:val="0"/>
        <w:spacing w:line="360" w:lineRule="auto"/>
        <w:ind w:firstLine="643" w:firstLineChars="200"/>
        <w:rPr>
          <w:rFonts w:ascii="仿宋_GB2312" w:hAnsi="Times New Roman" w:eastAsia="仿宋_GB2312" w:cs="Times New Roman"/>
          <w:bCs/>
          <w:sz w:val="32"/>
          <w:szCs w:val="32"/>
        </w:rPr>
      </w:pPr>
      <w:r>
        <w:rPr>
          <w:rFonts w:hint="eastAsia" w:ascii="仿宋_GB2312" w:hAnsi="Times New Roman" w:eastAsia="仿宋_GB2312" w:cs="Times New Roman"/>
          <w:b/>
          <w:bCs/>
          <w:sz w:val="32"/>
          <w:szCs w:val="32"/>
        </w:rPr>
        <w:t>多点联动。</w:t>
      </w:r>
      <w:r>
        <w:rPr>
          <w:rFonts w:hint="eastAsia" w:ascii="仿宋_GB2312" w:hAnsi="Times New Roman" w:eastAsia="仿宋_GB2312" w:cs="Times New Roman"/>
          <w:bCs/>
          <w:sz w:val="32"/>
          <w:szCs w:val="32"/>
        </w:rPr>
        <w:t>按照“点面结合、协同联动、错位发展”的理念，支持在全市范围内建设若干服务业集聚点，结合各地的战略性新兴产业优势，优化服务功能，</w:t>
      </w:r>
      <w:r>
        <w:rPr>
          <w:rFonts w:hint="eastAsia" w:ascii="仿宋" w:hAnsi="仿宋" w:eastAsia="仿宋_GB2312" w:cs="宋体"/>
          <w:bCs/>
          <w:color w:val="000000" w:themeColor="text1"/>
          <w:kern w:val="0"/>
          <w:sz w:val="32"/>
          <w:szCs w:val="32"/>
          <w14:textFill>
            <w14:solidFill>
              <w14:schemeClr w14:val="tx1"/>
            </w14:solidFill>
          </w14:textFill>
        </w:rPr>
        <w:t>高效配置服务业资源，</w:t>
      </w:r>
      <w:r>
        <w:rPr>
          <w:rFonts w:hint="eastAsia" w:ascii="仿宋_GB2312" w:hAnsi="Times New Roman" w:eastAsia="仿宋_GB2312" w:cs="Times New Roman"/>
          <w:bCs/>
          <w:sz w:val="32"/>
          <w:szCs w:val="32"/>
        </w:rPr>
        <w:t>提升服务水平。支持郑东新区、高新区打造全市创新创业引领区、产城融合示范区，依托开发区深化改革创新，在市场化配置资源、创新创业生态构建方面取得突破。探索在金水区打造城市“硅巷”，鼓励金水区与华北水利水电大学、河南农业大学等高校院所联合打造集科技创新、文化创意于一体的特色创新街区；</w:t>
      </w:r>
      <w:r>
        <w:rPr>
          <w:rFonts w:hint="eastAsia" w:ascii="仿宋" w:hAnsi="仿宋" w:eastAsia="仿宋_GB2312" w:cs="宋体"/>
          <w:bCs/>
          <w:color w:val="000000" w:themeColor="text1"/>
          <w:kern w:val="0"/>
          <w:sz w:val="32"/>
          <w:szCs w:val="32"/>
          <w14:textFill>
            <w14:solidFill>
              <w14:schemeClr w14:val="tx1"/>
            </w14:solidFill>
          </w14:textFill>
        </w:rPr>
        <w:t>支持高新区发挥研发资源及各类创新平台密集优势，拓展服务研发服务与高技术服务，推动高新区打造公共技术服务集聚区、知识产权高质量服务集聚区。</w:t>
      </w:r>
      <w:r>
        <w:rPr>
          <w:rFonts w:hint="eastAsia" w:ascii="仿宋_GB2312" w:hAnsi="Times New Roman" w:eastAsia="仿宋_GB2312" w:cs="Times New Roman"/>
          <w:bCs/>
          <w:sz w:val="32"/>
          <w:szCs w:val="32"/>
        </w:rPr>
        <w:t>鼓励二七、管城等老城区提质发展，大力发展楼宇经济，布局创意、设计和咨询等生产性服务业；结合旧城改造，支持老城区与高校、科研院所联合打造集科技创新、文化创意于一体的创新创业社区，全面推动中心城区现代服务业和都市工业发展。推进新密、登封等县（市）升级园区基础设施，完善产业集聚区功能配套，引进检验</w:t>
      </w:r>
      <w:r>
        <w:rPr>
          <w:rFonts w:hint="eastAsia" w:ascii="仿宋_GB2312" w:hAnsi="Times New Roman" w:eastAsia="仿宋_GB2312" w:cs="Times New Roman"/>
          <w:bCs/>
          <w:sz w:val="32"/>
          <w:szCs w:val="32"/>
          <w:lang w:eastAsia="zh-CN"/>
        </w:rPr>
        <w:t>检测</w:t>
      </w:r>
      <w:r>
        <w:rPr>
          <w:rFonts w:hint="eastAsia" w:ascii="仿宋_GB2312" w:hAnsi="Times New Roman" w:eastAsia="仿宋_GB2312" w:cs="Times New Roman"/>
          <w:bCs/>
          <w:sz w:val="32"/>
          <w:szCs w:val="32"/>
        </w:rPr>
        <w:t>平台、环保咨询、法律咨询等产业配套企业，推进产业集聚区二次创业、提档升级。推进河南省国家大学科技园、郑州大学国家大学科技园等高校科技园区建设，搭建高校科技成果转化、高新技术企业孵化、创新创业人才培养等产学研用结合平台。</w:t>
      </w:r>
    </w:p>
    <w:p>
      <w:pPr>
        <w:snapToGrid w:val="0"/>
        <w:spacing w:line="360" w:lineRule="auto"/>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加快郑东新区国家质检中心郑州综合检测基地建设，启动实施二期工程，完善提升郑州市高新技术开发区“国家检验检测认证公共服务平台示范区”功能。积极培育引进一批专业能力强、服务水平高、规模效益好的科技服务机构，支持国内外知名科技服务机构来郑设立分支机构，推动科技服务规模化、集群化发展，支持高新区打造检验检测集聚区，中原区打造科技服务产业集聚区，积极创建国家检验检测高技术服务业集聚区。</w:t>
      </w:r>
    </w:p>
    <w:p>
      <w:pPr>
        <w:snapToGrid w:val="0"/>
        <w:spacing w:line="360" w:lineRule="auto"/>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以郑东新区金融集聚核心功能区建设为载体，持续完善金融产业城市空间布局，统筹推进重大战略、重点领域和薄弱环节金融支持，促进金融改革创新，持续创新金融产品，搭建科技企业服务金融平台，建设与郑州国家中心城市地位相适应的国家区域性现代金融中心。</w:t>
      </w:r>
    </w:p>
    <w:p>
      <w:pPr>
        <w:snapToGrid w:val="0"/>
        <w:spacing w:line="360" w:lineRule="auto"/>
        <w:ind w:firstLine="640" w:firstLineChars="200"/>
      </w:pPr>
      <w:r>
        <w:rPr>
          <w:rFonts w:hint="eastAsia" w:ascii="仿宋_GB2312" w:hAnsi="Times New Roman" w:eastAsia="仿宋_GB2312" w:cs="Times New Roman"/>
          <w:bCs/>
          <w:sz w:val="32"/>
          <w:szCs w:val="32"/>
        </w:rPr>
        <w:t>大力推进郑州航空港区空港型国家物流枢纽建设，建设百万吨国际货运航空枢纽，打造国际货运亚洲分拨中心，</w:t>
      </w:r>
      <w:r>
        <w:rPr>
          <w:rFonts w:hint="eastAsia" w:ascii="Times New Roman" w:hAnsi="Times New Roman" w:eastAsia="仿宋_GB2312" w:cs="Times New Roman"/>
          <w:color w:val="000000"/>
          <w:sz w:val="32"/>
          <w:szCs w:val="32"/>
        </w:rPr>
        <w:t>引进国内外“头部”航空、物流、货代、贸易企业，以贸易集聚带动流通扩量，推动枢纽优势向物流优势、贸易优势、产业优势转化，打造立足中部、辐射全国、通达全球的国际物流贸易中心。</w:t>
      </w:r>
    </w:p>
    <w:p>
      <w:pPr>
        <w:pStyle w:val="3"/>
        <w:snapToGrid w:val="0"/>
        <w:spacing w:before="0" w:after="0" w:line="360" w:lineRule="auto"/>
        <w:ind w:firstLine="643" w:firstLineChars="200"/>
        <w:rPr>
          <w:rFonts w:ascii="仿宋_GB2312" w:hAnsi="仿宋_GB2312" w:eastAsia="仿宋_GB2312" w:cs="仿宋_GB2312"/>
          <w:color w:val="000000" w:themeColor="text1"/>
          <w14:textFill>
            <w14:solidFill>
              <w14:schemeClr w14:val="tx1"/>
            </w14:solidFill>
          </w14:textFill>
        </w:rPr>
      </w:pPr>
      <w:bookmarkStart w:id="35" w:name="_Toc6489"/>
      <w:r>
        <w:rPr>
          <w:rFonts w:hint="eastAsia" w:ascii="仿宋_GB2312" w:hAnsi="仿宋_GB2312" w:eastAsia="仿宋_GB2312" w:cs="仿宋_GB2312"/>
          <w:color w:val="000000" w:themeColor="text1"/>
          <w14:textFill>
            <w14:solidFill>
              <w14:schemeClr w14:val="tx1"/>
            </w14:solidFill>
          </w14:textFill>
        </w:rPr>
        <w:t>（四）发展目标</w:t>
      </w:r>
      <w:bookmarkEnd w:id="35"/>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战略性新兴产业相关服务业质量效益大幅提高，对战略性新兴产业发展支撑作用进一步加大，服务产业转型升级能力进一步增强。相关服务业增速高于地区生产总值增速，高于全国平均增速。产业集聚度显著提升，主体功能突出、辐射带动作用强的服务业发展载体不断壮大，新业态新模式大量涌现，数字赋能、业态高端、特色鲜明、辐射力强的新时代相关服务业体系基本构建，建</w:t>
      </w:r>
      <w:r>
        <w:rPr>
          <w:rFonts w:ascii="仿宋" w:hAnsi="仿宋" w:eastAsia="仿宋_GB2312" w:cs="宋体"/>
          <w:bCs/>
          <w:color w:val="000000" w:themeColor="text1"/>
          <w:kern w:val="0"/>
          <w:sz w:val="32"/>
          <w:szCs w:val="32"/>
          <w14:textFill>
            <w14:solidFill>
              <w14:schemeClr w14:val="tx1"/>
            </w14:solidFill>
          </w14:textFill>
        </w:rPr>
        <w:t>成</w:t>
      </w:r>
      <w:r>
        <w:rPr>
          <w:rFonts w:hint="eastAsia" w:ascii="仿宋" w:hAnsi="仿宋" w:eastAsia="仿宋_GB2312" w:cs="宋体"/>
          <w:bCs/>
          <w:color w:val="000000" w:themeColor="text1"/>
          <w:kern w:val="0"/>
          <w:sz w:val="32"/>
          <w:szCs w:val="32"/>
          <w14:textFill>
            <w14:solidFill>
              <w14:schemeClr w14:val="tx1"/>
            </w14:solidFill>
          </w14:textFill>
        </w:rPr>
        <w:t>黄河流域战略性新兴产业相关服务业发展的新高地。</w:t>
      </w:r>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——科技创新支撑能力大幅提升。</w:t>
      </w:r>
      <w:r>
        <w:rPr>
          <w:rFonts w:hint="eastAsia" w:ascii="仿宋" w:hAnsi="仿宋" w:eastAsia="仿宋_GB2312" w:cs="宋体"/>
          <w:bCs/>
          <w:color w:val="000000" w:themeColor="text1"/>
          <w:kern w:val="0"/>
          <w:sz w:val="32"/>
          <w:szCs w:val="32"/>
          <w14:textFill>
            <w14:solidFill>
              <w14:schemeClr w14:val="tx1"/>
            </w14:solidFill>
          </w14:textFill>
        </w:rPr>
        <w:t>科技成果转化更具效率，产业创新能力不断提升，科技对经济的支撑作用进一步凸显，成为带动新兴产业、未来产业发展的强大引擎。国家级创新平台达</w:t>
      </w:r>
      <w:r>
        <w:rPr>
          <w:rFonts w:ascii="仿宋" w:hAnsi="仿宋" w:eastAsia="仿宋_GB2312" w:cs="宋体"/>
          <w:bCs/>
          <w:color w:val="000000" w:themeColor="text1"/>
          <w:kern w:val="0"/>
          <w:sz w:val="32"/>
          <w:szCs w:val="32"/>
          <w14:textFill>
            <w14:solidFill>
              <w14:schemeClr w14:val="tx1"/>
            </w14:solidFill>
          </w14:textFill>
        </w:rPr>
        <w:t>75</w:t>
      </w:r>
      <w:r>
        <w:rPr>
          <w:rFonts w:hint="eastAsia" w:ascii="仿宋" w:hAnsi="仿宋" w:eastAsia="仿宋_GB2312" w:cs="宋体"/>
          <w:bCs/>
          <w:color w:val="000000" w:themeColor="text1"/>
          <w:kern w:val="0"/>
          <w:sz w:val="32"/>
          <w:szCs w:val="32"/>
          <w14:textFill>
            <w14:solidFill>
              <w14:schemeClr w14:val="tx1"/>
            </w14:solidFill>
          </w14:textFill>
        </w:rPr>
        <w:t>家，市级以上新型研发机构达</w:t>
      </w:r>
      <w:r>
        <w:rPr>
          <w:rFonts w:ascii="仿宋" w:hAnsi="仿宋" w:eastAsia="仿宋_GB2312" w:cs="宋体"/>
          <w:bCs/>
          <w:color w:val="000000" w:themeColor="text1"/>
          <w:kern w:val="0"/>
          <w:sz w:val="32"/>
          <w:szCs w:val="32"/>
          <w14:textFill>
            <w14:solidFill>
              <w14:schemeClr w14:val="tx1"/>
            </w14:solidFill>
          </w14:textFill>
        </w:rPr>
        <w:t>80</w:t>
      </w:r>
      <w:r>
        <w:rPr>
          <w:rFonts w:hint="eastAsia" w:ascii="仿宋" w:hAnsi="仿宋" w:eastAsia="仿宋_GB2312" w:cs="宋体"/>
          <w:bCs/>
          <w:color w:val="000000" w:themeColor="text1"/>
          <w:kern w:val="0"/>
          <w:sz w:val="32"/>
          <w:szCs w:val="32"/>
          <w14:textFill>
            <w14:solidFill>
              <w14:schemeClr w14:val="tx1"/>
            </w14:solidFill>
          </w14:textFill>
        </w:rPr>
        <w:t>家，技术市场交易额达1000亿元，高新技术产业增加值占规模以上工业增加值比重达70%。国家级孵化器达3</w:t>
      </w:r>
      <w:r>
        <w:rPr>
          <w:rFonts w:ascii="仿宋" w:hAnsi="仿宋" w:eastAsia="仿宋_GB2312" w:cs="宋体"/>
          <w:bCs/>
          <w:color w:val="000000" w:themeColor="text1"/>
          <w:kern w:val="0"/>
          <w:sz w:val="32"/>
          <w:szCs w:val="32"/>
          <w14:textFill>
            <w14:solidFill>
              <w14:schemeClr w14:val="tx1"/>
            </w14:solidFill>
          </w14:textFill>
        </w:rPr>
        <w:t>0</w:t>
      </w:r>
      <w:r>
        <w:rPr>
          <w:rFonts w:hint="eastAsia" w:ascii="仿宋" w:hAnsi="仿宋" w:eastAsia="仿宋_GB2312" w:cs="宋体"/>
          <w:bCs/>
          <w:color w:val="000000" w:themeColor="text1"/>
          <w:kern w:val="0"/>
          <w:sz w:val="32"/>
          <w:szCs w:val="32"/>
          <w14:textFill>
            <w14:solidFill>
              <w14:schemeClr w14:val="tx1"/>
            </w14:solidFill>
          </w14:textFill>
        </w:rPr>
        <w:t>家，国家级众创空间达</w:t>
      </w:r>
      <w:r>
        <w:rPr>
          <w:rFonts w:ascii="仿宋" w:hAnsi="仿宋" w:eastAsia="仿宋_GB2312" w:cs="宋体"/>
          <w:bCs/>
          <w:color w:val="000000" w:themeColor="text1"/>
          <w:kern w:val="0"/>
          <w:sz w:val="32"/>
          <w:szCs w:val="32"/>
          <w14:textFill>
            <w14:solidFill>
              <w14:schemeClr w14:val="tx1"/>
            </w14:solidFill>
          </w14:textFill>
        </w:rPr>
        <w:t>50</w:t>
      </w:r>
      <w:r>
        <w:rPr>
          <w:rFonts w:hint="eastAsia" w:ascii="仿宋" w:hAnsi="仿宋" w:eastAsia="仿宋_GB2312" w:cs="宋体"/>
          <w:bCs/>
          <w:color w:val="000000" w:themeColor="text1"/>
          <w:kern w:val="0"/>
          <w:sz w:val="32"/>
          <w:szCs w:val="32"/>
          <w14:textFill>
            <w14:solidFill>
              <w14:schemeClr w14:val="tx1"/>
            </w14:solidFill>
          </w14:textFill>
        </w:rPr>
        <w:t>家。研发及知识产权服务业专业化、网络化、规模化发展，形成中部区域领先的创新高地。</w:t>
      </w:r>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——现代金融业综合竞争力大幅提升。</w:t>
      </w:r>
      <w:r>
        <w:rPr>
          <w:rFonts w:hint="eastAsia" w:ascii="仿宋" w:hAnsi="仿宋" w:eastAsia="仿宋_GB2312" w:cs="宋体"/>
          <w:bCs/>
          <w:color w:val="000000" w:themeColor="text1"/>
          <w:kern w:val="0"/>
          <w:sz w:val="32"/>
          <w:szCs w:val="32"/>
          <w14:textFill>
            <w14:solidFill>
              <w14:schemeClr w14:val="tx1"/>
            </w14:solidFill>
          </w14:textFill>
        </w:rPr>
        <w:t>到2025年，全市金融业增加值突破1800亿元，上市企业达突破60家。建成与郑州国家中心城市地位相适应的国家区域性现代金融中心。</w:t>
      </w:r>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——检验检测认证服务能力大幅提升。</w:t>
      </w:r>
      <w:r>
        <w:rPr>
          <w:rFonts w:hint="eastAsia" w:ascii="仿宋" w:hAnsi="仿宋" w:eastAsia="仿宋_GB2312" w:cs="宋体"/>
          <w:bCs/>
          <w:color w:val="000000" w:themeColor="text1"/>
          <w:kern w:val="0"/>
          <w:sz w:val="32"/>
          <w:szCs w:val="32"/>
          <w14:textFill>
            <w14:solidFill>
              <w14:schemeClr w14:val="tx1"/>
            </w14:solidFill>
          </w14:textFill>
        </w:rPr>
        <w:t>对战略性新兴产业发展的支撑引领作用更加凸显。检验检测机构整合改革得到扩大，公共技术服务平台布局更加合理，标准实施效益明显增强，认证认可互认步伐加快，成为全国性的检验检测认证服务中心和检验检测人才、机构聚集地。</w:t>
      </w:r>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——新业态新模式新场景大量涌现。</w:t>
      </w:r>
      <w:r>
        <w:rPr>
          <w:rFonts w:hint="eastAsia" w:ascii="仿宋" w:hAnsi="仿宋" w:eastAsia="仿宋_GB2312" w:cs="宋体"/>
          <w:bCs/>
          <w:color w:val="000000" w:themeColor="text1"/>
          <w:kern w:val="0"/>
          <w:sz w:val="32"/>
          <w:szCs w:val="32"/>
          <w14:textFill>
            <w14:solidFill>
              <w14:schemeClr w14:val="tx1"/>
            </w14:solidFill>
          </w14:textFill>
        </w:rPr>
        <w:t>数字经济广泛应用于战略性新兴产业相关服务业各领域，创新创业、现代金融等新业态蓬勃发展，技术创新、业态创新、模式创新进一步强化，新业态新模式新场景全面推广，形成一批有较强市场竞争力的重点企业和具有较大影响力的服务业品牌。</w:t>
      </w:r>
    </w:p>
    <w:p>
      <w:pPr>
        <w:pStyle w:val="2"/>
        <w:keepNext w:val="0"/>
        <w:snapToGrid w:val="0"/>
        <w:spacing w:before="0" w:after="0" w:line="360" w:lineRule="auto"/>
        <w:ind w:firstLine="640" w:firstLineChars="200"/>
        <w:rPr>
          <w:rFonts w:ascii="黑体" w:hAnsi="黑体" w:eastAsia="黑体"/>
          <w:b w:val="0"/>
          <w:color w:val="000000" w:themeColor="text1"/>
          <w:sz w:val="32"/>
          <w:szCs w:val="32"/>
          <w14:textFill>
            <w14:solidFill>
              <w14:schemeClr w14:val="tx1"/>
            </w14:solidFill>
          </w14:textFill>
        </w:rPr>
      </w:pPr>
      <w:bookmarkStart w:id="36" w:name="_Toc14697"/>
      <w:r>
        <w:rPr>
          <w:rFonts w:hint="eastAsia" w:ascii="黑体" w:hAnsi="黑体" w:eastAsia="黑体"/>
          <w:b w:val="0"/>
          <w:color w:val="000000" w:themeColor="text1"/>
          <w:sz w:val="32"/>
          <w:szCs w:val="32"/>
          <w14:textFill>
            <w14:solidFill>
              <w14:schemeClr w14:val="tx1"/>
            </w14:solidFill>
          </w14:textFill>
        </w:rPr>
        <w:t>三、重点发展产业</w:t>
      </w:r>
      <w:bookmarkEnd w:id="36"/>
      <w:r>
        <w:rPr>
          <w:rFonts w:hint="eastAsia" w:ascii="黑体" w:hAnsi="黑体" w:eastAsia="黑体"/>
          <w:b w:val="0"/>
          <w:color w:val="000000" w:themeColor="text1"/>
          <w:sz w:val="32"/>
          <w:szCs w:val="32"/>
          <w14:textFill>
            <w14:solidFill>
              <w14:schemeClr w14:val="tx1"/>
            </w14:solidFill>
          </w14:textFill>
        </w:rPr>
        <w:t xml:space="preserve"> </w:t>
      </w:r>
      <w:r>
        <w:rPr>
          <w:rFonts w:ascii="黑体" w:hAnsi="黑体" w:eastAsia="黑体"/>
          <w:b w:val="0"/>
          <w:color w:val="000000" w:themeColor="text1"/>
          <w:sz w:val="32"/>
          <w:szCs w:val="32"/>
          <w14:textFill>
            <w14:solidFill>
              <w14:schemeClr w14:val="tx1"/>
            </w14:solidFill>
          </w14:textFill>
        </w:rPr>
        <w:t xml:space="preserve">      </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大力培育战略性新兴产业服务业新业态、新模式、新场景，推动创新创业服务、现代金融服务、研发与知识产权服务、检验检测、标准化服务、航空运营服务等做大做强，建设具有郑州特色的战略性新兴产业“郑州服务”品牌，为战略性新兴产业发展提供有效支撑。</w:t>
      </w:r>
    </w:p>
    <w:p>
      <w:pPr>
        <w:pStyle w:val="3"/>
        <w:snapToGrid w:val="0"/>
        <w:spacing w:before="0" w:after="0" w:line="360" w:lineRule="auto"/>
        <w:ind w:firstLine="643" w:firstLineChars="200"/>
        <w:rPr>
          <w:rFonts w:ascii="仿宋_GB2312" w:hAnsi="仿宋_GB2312" w:eastAsia="仿宋_GB2312" w:cs="仿宋_GB2312"/>
          <w:color w:val="000000" w:themeColor="text1"/>
          <w14:textFill>
            <w14:solidFill>
              <w14:schemeClr w14:val="tx1"/>
            </w14:solidFill>
          </w14:textFill>
        </w:rPr>
      </w:pPr>
      <w:bookmarkStart w:id="37" w:name="_Toc22177"/>
      <w:r>
        <w:rPr>
          <w:rFonts w:hint="eastAsia" w:ascii="仿宋_GB2312" w:hAnsi="仿宋_GB2312" w:eastAsia="仿宋_GB2312" w:cs="仿宋_GB2312"/>
          <w:color w:val="000000" w:themeColor="text1"/>
          <w14:textFill>
            <w14:solidFill>
              <w14:schemeClr w14:val="tx1"/>
            </w14:solidFill>
          </w14:textFill>
        </w:rPr>
        <w:t>（一）大力推动创新创业服务能力提升</w:t>
      </w:r>
      <w:bookmarkEnd w:id="37"/>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bookmarkStart w:id="38" w:name="_Toc469991578"/>
      <w:r>
        <w:rPr>
          <w:rFonts w:hint="eastAsia" w:ascii="仿宋" w:hAnsi="仿宋" w:eastAsia="仿宋_GB2312" w:cs="宋体"/>
          <w:bCs/>
          <w:color w:val="000000" w:themeColor="text1"/>
          <w:kern w:val="0"/>
          <w:sz w:val="32"/>
          <w:szCs w:val="32"/>
          <w14:textFill>
            <w14:solidFill>
              <w14:schemeClr w14:val="tx1"/>
            </w14:solidFill>
          </w14:textFill>
        </w:rPr>
        <w:t>着力打造高水平双创支撑平台。以郑洛新国家自主创新示范区（郑州片区）建设为契机，依托双创资源集聚的园区、高校和科研院所、创新型企业等不同载体，统筹产业链、创新链、资金链和政策链，推动双创组织模式和服务模式创新，争创若干国家级、省级双创示范基地，培育一批具有市场活力的双创支撑平台。加强双创文化建设，出台支持双创的政策措施，开展科技金融产品和服务创新，提升多元化科技服务能力，持续优化创新服务供给，推动现有孵化载体升级，推广一批适应不同区域特点、组织形式和发展阶段的双创模式和典型经验，培育新技术、新产品、新业态和新模式，为战略性新兴产业创新发展提供支撑。积极吸引国内外一流大学、科研院所和世界500强研发中心设立分支机构、孵化机构、科技成果转化基地和产业园区等双创服务平台和载体。</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大力推动新型孵化器建设。鼓励各类市内省级高新区、工业园区、投融资机构、企业、社会组织以及高校、研究院所等各方力量开展创新型团队和企业的集聚、孵化和培育工作，支持各类社会力量和社会资本建设低成本、便利化、全要素的开放式专业化、特色化新型孵化器。支持高校、科研机构、大企业等各类投资主体，充分利用闲置厂房或楼宇率先建设创业与创新、线上与线下、孵化与投资等相结合的新型孵化器。鼓励风险投资机构、民间资本通过股权投资等形式参与双创服务平台建设。支持管理主体对入驻对象提供团队组建、企业运行、财务管理、资金筹措和投融资、市场咨询、技术转移和成果转化、科技金融、检验检测、市场准入、法律和知识产权保护、创客科技、创业辅导、创业培训、项目代理等专业化服务。对众创空间等新型孵化器的房租、宽带接入费用和用于创业服务的公共软件、开发工具给予适当补贴，鼓励为创业者提供免费高带宽互联网接入服务。</w:t>
      </w:r>
    </w:p>
    <w:p>
      <w:pPr>
        <w:snapToGrid w:val="0"/>
        <w:spacing w:line="360" w:lineRule="auto"/>
        <w:ind w:firstLine="640" w:firstLineChars="200"/>
      </w:pPr>
      <w:r>
        <w:rPr>
          <w:rFonts w:hint="eastAsia" w:ascii="仿宋" w:hAnsi="仿宋" w:eastAsia="仿宋_GB2312" w:cs="宋体"/>
          <w:bCs/>
          <w:color w:val="000000" w:themeColor="text1"/>
          <w:kern w:val="0"/>
          <w:sz w:val="32"/>
          <w:szCs w:val="32"/>
          <w14:textFill>
            <w14:solidFill>
              <w14:schemeClr w14:val="tx1"/>
            </w14:solidFill>
          </w14:textFill>
        </w:rPr>
        <w:t>加快培育发展双创新业态新模式。鼓励建立“苗圃+孵化器+加速器+产业园”一体化的双创孵化链条，针对不同发展阶段的科研项目和科技实体，提供差异化服务，提升商业运营能力，加快培育形成新兴市场。积极探索基于互联网的新型孵化方式，激发创新创业活力，释放新需求，创造新供给，推动新技术、新产业、新业态蓬勃发展。培育创客空间、创业茶座、创业咖啡、创新工场等新型孵化模式，促进天使投资与创业孵化紧密结合，推广“孵化+创投”等孵化模式。鼓励孵化器与创业投资机构合作，加快孵化器内种子资金建设，构建孵化体系内的天使投资网络，建立全市孵化体系内资金和项目共享机制。加大与银行、担保等金融机构的合作力度，积极创新面向科技创业企业的金融产品。探索面向初创期科技型小微企业、孵化载体内的创客和创业团队发放“创业券”，通过政府购买服务方式支付技术研发、试验检测、技术咨询、市场推广、知识产权服务、财务法律咨询等相关创业活动支出，市财政根据实际投入给予一定比例的奖补。</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持续完善双创活动展示机制。通过“展、会、赛、奖、演”五大板块，搭建高校、科研院所产学研交流展示平台。支持推进大众创新创业的路演、创业大赛、辅导培训、主题演讲、经验交流、产品展示等活动。探索科研项目发布和成果推介制度，定期举行专题推介会。高质量办好“郑创汇”国际创新创业大赛、世界传感器大会等活动，塑造“活力郑州”创新创业品牌形象。推进常态化路演展示，做精做优全国“双创”活动周活动、众创空间路演活动等，邀请行业知名专家、高新技术企业、知名投资机构参加路演，支持各区举办创新成果交易会等。广泛征集投资小、见效快、市场前景好的科技项目，经专家筛选评估后纳入项目库。不断丰富提升郑州科技馆展示窗口、实用平台等功能，打造国际化路演中心，不断扩大郑州科技馆的知名度和影响力等内容。</w:t>
      </w:r>
      <w:bookmarkEnd w:id="38"/>
    </w:p>
    <w:p>
      <w:pPr>
        <w:pStyle w:val="3"/>
        <w:snapToGrid w:val="0"/>
        <w:spacing w:before="0" w:after="0" w:line="360" w:lineRule="auto"/>
        <w:ind w:firstLine="643" w:firstLineChars="200"/>
        <w:rPr>
          <w:rFonts w:ascii="仿宋_GB2312" w:hAnsi="仿宋_GB2312" w:eastAsia="仿宋_GB2312" w:cs="仿宋_GB2312"/>
          <w:color w:val="000000" w:themeColor="text1"/>
          <w14:textFill>
            <w14:solidFill>
              <w14:schemeClr w14:val="tx1"/>
            </w14:solidFill>
          </w14:textFill>
        </w:rPr>
      </w:pPr>
      <w:bookmarkStart w:id="39" w:name="_Toc24624"/>
      <w:r>
        <w:rPr>
          <w:rFonts w:hint="eastAsia" w:ascii="仿宋_GB2312" w:hAnsi="仿宋_GB2312" w:eastAsia="仿宋_GB2312" w:cs="仿宋_GB2312"/>
          <w:color w:val="000000" w:themeColor="text1"/>
          <w14:textFill>
            <w14:solidFill>
              <w14:schemeClr w14:val="tx1"/>
            </w14:solidFill>
          </w14:textFill>
        </w:rPr>
        <w:t>（二）持续强化现代金融服务体系建设</w:t>
      </w:r>
      <w:bookmarkEnd w:id="39"/>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推动国家区域性现代金融中心建设。以“服务实体经济、防控金融风险、深化金融改革”三大任务为主线，以郑东新区金融集聚核心功能区建设为载体，持续完善金融产业城市空间布局，统筹推进重大战略、重点领域和薄弱环节金融支持，促进金融改革创新，建设与郑州国家中心城市地位相适应的国家区域性现代金融中心。做强做大金融总部经济，鼓励金融机构入驻郑州，探索设立中外合资证券公司、公募基金管理公司等，做好机构引入过程中的协调服务和政策落实工作。持续推进龙湖金融岛、中原基金岛建设</w:t>
      </w:r>
      <w:r>
        <w:rPr>
          <w:rFonts w:ascii="仿宋" w:hAnsi="仿宋" w:eastAsia="仿宋_GB2312" w:cs="宋体"/>
          <w:bCs/>
          <w:color w:val="000000" w:themeColor="text1"/>
          <w:kern w:val="0"/>
          <w:sz w:val="32"/>
          <w:szCs w:val="32"/>
          <w14:textFill>
            <w14:solidFill>
              <w14:schemeClr w14:val="tx1"/>
            </w14:solidFill>
          </w14:textFill>
        </w:rPr>
        <w:t>。</w:t>
      </w:r>
      <w:r>
        <w:rPr>
          <w:rFonts w:hint="eastAsia" w:ascii="仿宋" w:hAnsi="仿宋" w:eastAsia="仿宋_GB2312" w:cs="宋体"/>
          <w:bCs/>
          <w:color w:val="000000" w:themeColor="text1"/>
          <w:kern w:val="0"/>
          <w:sz w:val="32"/>
          <w:szCs w:val="32"/>
          <w14:textFill>
            <w14:solidFill>
              <w14:schemeClr w14:val="tx1"/>
            </w14:solidFill>
          </w14:textFill>
        </w:rPr>
        <w:t>完善自贸区金融服务体系，积极向上争取更多试点政策，大力推进跨境人民币结算业务，推动更高水平的贸易投资自由化、便利化。壮大金融市场主体，发展多层次资本市场，增强金融创新和服务能力，构建具有较强融资和国际结算能力的区域金融体系。积极筹办一批具有国际影响力的高端财富论坛、金融峰会等。</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发展壮大地方金融机构。</w:t>
      </w:r>
      <w:r>
        <w:rPr>
          <w:rFonts w:ascii="仿宋" w:hAnsi="仿宋" w:eastAsia="仿宋_GB2312" w:cs="宋体"/>
          <w:bCs/>
          <w:color w:val="000000" w:themeColor="text1"/>
          <w:kern w:val="0"/>
          <w:sz w:val="32"/>
          <w:szCs w:val="32"/>
          <w14:textFill>
            <w14:solidFill>
              <w14:schemeClr w14:val="tx1"/>
            </w14:solidFill>
          </w14:textFill>
        </w:rPr>
        <w:t>发挥郑商所龙头作用，做强期货产业链，</w:t>
      </w:r>
      <w:r>
        <w:rPr>
          <w:rFonts w:hint="eastAsia" w:ascii="仿宋" w:hAnsi="仿宋" w:eastAsia="仿宋_GB2312" w:cs="宋体"/>
          <w:bCs/>
          <w:color w:val="000000" w:themeColor="text1"/>
          <w:kern w:val="0"/>
          <w:sz w:val="32"/>
          <w:szCs w:val="32"/>
          <w14:textFill>
            <w14:solidFill>
              <w14:schemeClr w14:val="tx1"/>
            </w14:solidFill>
          </w14:textFill>
        </w:rPr>
        <w:t>完善期货品种体系，</w:t>
      </w:r>
      <w:r>
        <w:rPr>
          <w:rFonts w:ascii="仿宋" w:hAnsi="仿宋" w:eastAsia="仿宋_GB2312" w:cs="宋体"/>
          <w:bCs/>
          <w:color w:val="000000" w:themeColor="text1"/>
          <w:kern w:val="0"/>
          <w:sz w:val="32"/>
          <w:szCs w:val="32"/>
          <w14:textFill>
            <w14:solidFill>
              <w14:schemeClr w14:val="tx1"/>
            </w14:solidFill>
          </w14:textFill>
        </w:rPr>
        <w:t>打造亚洲重要的期货交易中心。</w:t>
      </w:r>
      <w:r>
        <w:rPr>
          <w:rFonts w:hint="eastAsia" w:ascii="仿宋" w:hAnsi="仿宋" w:eastAsia="仿宋_GB2312" w:cs="宋体"/>
          <w:bCs/>
          <w:color w:val="000000" w:themeColor="text1"/>
          <w:kern w:val="0"/>
          <w:sz w:val="32"/>
          <w:szCs w:val="32"/>
          <w14:textFill>
            <w14:solidFill>
              <w14:schemeClr w14:val="tx1"/>
            </w14:solidFill>
          </w14:textFill>
        </w:rPr>
        <w:t>加大中原银行、中原农业保险、中原信托、中原证券、中原资产、中原股权交易中心等金融主体的支持力度，加快组建法人寿险公司、民营银行等法人机构，设立一批产业投资基金、股权基金和创业投资基金。大力引进国内外各类金融机构，培育服务小微企业的中小金融机构。探索发展离岸金融，强化绿色金融、消费金融、跨境金融、科技金融、供应链金融等产品和服务方式创新。加快推进郑州中小微企业综合金融服务平台建设，运用大数据、云计算、人工智能等金融科技手段提升平台服务有效性，提升中小微企业线上纯信用贷款可获得性。</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大力促进金融与产业深度融合。加快构建多层次资本市场和投融资体系，积极拓宽战略性新兴产业的融资渠道。健全企业上市融资服务体系，扩大债券融资规模。通过创新财政科技投入方式，引导和促进银行业等金融机构，创新金融产品，改进服务模式，搭建服务平台，实现产业链条与金融资本链条的有机结合。鼓励企业通过并购重组、股权融资等途径开展持续资本运作。创新发展各类新兴要素交易平台，构建以股权、债权、金融资产交易为主，涵盖物权、大宗商品、知识产权等要素的交易市场体系。持续拓宽企业融资渠道，大力落实挂牌上市“千企展翼”行动计划，支持优秀企业通过发行股票、企业债、公司债、短期融资券、中期票据等实现直接融资。鼓励发展天使投资和创业投资，为中小企业尤其是科技型初创企业拓展股权融资渠道。制定天使投资风险补助、天使投资激励、投资损失冲销、天使投资个人奖励等具体方案，引导豫籍、郑州籍及本地民营企业家成为“天使”。</w:t>
      </w:r>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jc w:val="center"/>
              <w:rPr>
                <w:rFonts w:ascii="楷体" w:hAnsi="楷体" w:eastAsia="楷体"/>
                <w:kern w:val="0"/>
                <w:sz w:val="28"/>
                <w:szCs w:val="32"/>
              </w:rPr>
            </w:pPr>
            <w:r>
              <w:rPr>
                <w:rFonts w:hint="eastAsia" w:ascii="黑体" w:hAnsi="黑体" w:eastAsia="黑体" w:cs="黑体"/>
                <w:kern w:val="0"/>
                <w:sz w:val="28"/>
                <w:szCs w:val="28"/>
              </w:rPr>
              <w:t>专栏1  大力推进企业上市培育计划</w:t>
            </w:r>
            <w:r>
              <w:rPr>
                <w:rFonts w:hint="eastAsia" w:ascii="黑体" w:hAnsi="黑体" w:eastAsia="黑体" w:cs="黑体"/>
                <w:kern w:val="0"/>
                <w:sz w:val="32"/>
                <w:szCs w:val="3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napToGrid w:val="0"/>
              <w:spacing w:before="156" w:beforeLines="50" w:line="360" w:lineRule="auto"/>
              <w:ind w:firstLine="562" w:firstLineChars="200"/>
              <w:rPr>
                <w:rFonts w:ascii="仿宋" w:hAnsi="仿宋" w:eastAsia="仿宋_GB2312" w:cs="宋体"/>
                <w:b/>
                <w:bCs/>
                <w:color w:val="000000" w:themeColor="text1"/>
                <w:kern w:val="0"/>
                <w:sz w:val="28"/>
                <w:szCs w:val="32"/>
                <w14:textFill>
                  <w14:solidFill>
                    <w14:schemeClr w14:val="tx1"/>
                  </w14:solidFill>
                </w14:textFill>
              </w:rPr>
            </w:pPr>
            <w:r>
              <w:rPr>
                <w:rFonts w:hint="eastAsia" w:ascii="仿宋" w:hAnsi="仿宋" w:eastAsia="仿宋_GB2312" w:cs="宋体"/>
                <w:b/>
                <w:bCs/>
                <w:color w:val="000000" w:themeColor="text1"/>
                <w:kern w:val="0"/>
                <w:sz w:val="28"/>
                <w:szCs w:val="32"/>
                <w14:textFill>
                  <w14:solidFill>
                    <w14:schemeClr w14:val="tx1"/>
                  </w14:solidFill>
                </w14:textFill>
              </w:rPr>
              <w:t>积极落实挂牌上市“千企展翼”行动。</w:t>
            </w:r>
            <w:r>
              <w:rPr>
                <w:rFonts w:hint="eastAsia" w:ascii="仿宋" w:hAnsi="仿宋" w:eastAsia="仿宋_GB2312" w:cs="宋体"/>
                <w:bCs/>
                <w:color w:val="000000" w:themeColor="text1"/>
                <w:kern w:val="0"/>
                <w:sz w:val="28"/>
                <w:szCs w:val="32"/>
                <w14:textFill>
                  <w14:solidFill>
                    <w14:schemeClr w14:val="tx1"/>
                  </w14:solidFill>
                </w14:textFill>
              </w:rPr>
              <w:t>推动符合条件的战略性新兴产业优势企业到主板、中小企业板、创业板及境外资本市场上市融资。</w:t>
            </w:r>
            <w:r>
              <w:rPr>
                <w:rFonts w:ascii="仿宋" w:hAnsi="仿宋" w:eastAsia="仿宋_GB2312" w:cs="宋体"/>
                <w:bCs/>
                <w:color w:val="000000" w:themeColor="text1"/>
                <w:kern w:val="0"/>
                <w:sz w:val="28"/>
                <w:szCs w:val="32"/>
                <w14:textFill>
                  <w14:solidFill>
                    <w14:schemeClr w14:val="tx1"/>
                  </w14:solidFill>
                </w14:textFill>
              </w:rPr>
              <w:t>重点支持科创板上市</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企业在上交所科创板首次公开发行股票</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市政府给予奖励。企业在沪深</w:t>
            </w:r>
            <w:r>
              <w:rPr>
                <w:rFonts w:hint="eastAsia" w:ascii="仿宋" w:hAnsi="仿宋" w:eastAsia="仿宋_GB2312" w:cs="宋体"/>
                <w:bCs/>
                <w:color w:val="000000" w:themeColor="text1"/>
                <w:kern w:val="0"/>
                <w:sz w:val="28"/>
                <w:szCs w:val="32"/>
                <w14:textFill>
                  <w14:solidFill>
                    <w14:schemeClr w14:val="tx1"/>
                  </w14:solidFill>
                </w14:textFill>
              </w:rPr>
              <w:t>京</w:t>
            </w:r>
            <w:r>
              <w:rPr>
                <w:rFonts w:ascii="仿宋" w:hAnsi="仿宋" w:eastAsia="仿宋_GB2312" w:cs="宋体"/>
                <w:bCs/>
                <w:color w:val="000000" w:themeColor="text1"/>
                <w:kern w:val="0"/>
                <w:sz w:val="28"/>
                <w:szCs w:val="32"/>
                <w14:textFill>
                  <w14:solidFill>
                    <w14:schemeClr w14:val="tx1"/>
                  </w14:solidFill>
                </w14:textFill>
              </w:rPr>
              <w:t>交易所主板、中小板和创业板上市的</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市政府给予总额奖补。支持企业境外上市、挂牌及并购重组、再融资</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对在境外证券交易所上市的</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给予一次性</w:t>
            </w:r>
            <w:r>
              <w:rPr>
                <w:rFonts w:ascii="仿宋" w:hAnsi="仿宋" w:eastAsia="仿宋_GB2312" w:cs="宋体"/>
                <w:bCs/>
                <w:strike/>
                <w:color w:val="000000" w:themeColor="text1"/>
                <w:kern w:val="0"/>
                <w:sz w:val="28"/>
                <w:szCs w:val="32"/>
                <w14:textFill>
                  <w14:solidFill>
                    <w14:schemeClr w14:val="tx1"/>
                  </w14:solidFill>
                </w14:textFill>
              </w:rPr>
              <w:t>元</w:t>
            </w:r>
            <w:r>
              <w:rPr>
                <w:rFonts w:ascii="仿宋" w:hAnsi="仿宋" w:eastAsia="仿宋_GB2312" w:cs="宋体"/>
                <w:bCs/>
                <w:color w:val="000000" w:themeColor="text1"/>
                <w:kern w:val="0"/>
                <w:sz w:val="28"/>
                <w:szCs w:val="32"/>
                <w14:textFill>
                  <w14:solidFill>
                    <w14:schemeClr w14:val="tx1"/>
                  </w14:solidFill>
                </w14:textFill>
              </w:rPr>
              <w:t>奖励</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对在全国中小企业股份转让系统</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新三板</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挂牌的企业</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市政府给予一次性奖励</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对在中原股权交易中心挂牌的企业</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市政府给予一次性奖励</w:t>
            </w:r>
            <w:r>
              <w:rPr>
                <w:rFonts w:hint="eastAsia" w:ascii="仿宋" w:hAnsi="仿宋" w:eastAsia="仿宋_GB2312" w:cs="宋体"/>
                <w:bCs/>
                <w:color w:val="000000" w:themeColor="text1"/>
                <w:kern w:val="0"/>
                <w:sz w:val="28"/>
                <w:szCs w:val="32"/>
                <w14:textFill>
                  <w14:solidFill>
                    <w14:schemeClr w14:val="tx1"/>
                  </w14:solidFill>
                </w14:textFill>
              </w:rPr>
              <w:t>。根据企业境内外上市进程给予费用奖补。</w:t>
            </w:r>
          </w:p>
          <w:p>
            <w:pPr>
              <w:snapToGrid w:val="0"/>
              <w:spacing w:line="360" w:lineRule="auto"/>
              <w:ind w:firstLine="562" w:firstLineChars="200"/>
              <w:rPr>
                <w:rFonts w:ascii="仿宋" w:hAnsi="仿宋" w:eastAsia="仿宋_GB2312" w:cs="宋体"/>
                <w:bCs/>
                <w:strike/>
                <w:color w:val="000000" w:themeColor="text1"/>
                <w:kern w:val="0"/>
                <w:sz w:val="28"/>
                <w:szCs w:val="32"/>
                <w14:textFill>
                  <w14:solidFill>
                    <w14:schemeClr w14:val="tx1"/>
                  </w14:solidFill>
                </w14:textFill>
              </w:rPr>
            </w:pPr>
            <w:r>
              <w:rPr>
                <w:rFonts w:ascii="仿宋" w:hAnsi="仿宋" w:eastAsia="仿宋_GB2312" w:cs="宋体"/>
                <w:b/>
                <w:bCs/>
                <w:color w:val="000000" w:themeColor="text1"/>
                <w:kern w:val="0"/>
                <w:sz w:val="28"/>
                <w:szCs w:val="32"/>
                <w14:textFill>
                  <w14:solidFill>
                    <w14:schemeClr w14:val="tx1"/>
                  </w14:solidFill>
                </w14:textFill>
              </w:rPr>
              <w:t>强化上市挂牌“绿色通道”机制</w:t>
            </w:r>
            <w:r>
              <w:rPr>
                <w:rFonts w:hint="eastAsia" w:ascii="仿宋" w:hAnsi="仿宋" w:eastAsia="仿宋_GB2312" w:cs="宋体"/>
                <w:b/>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落实省、市企业上市挂牌融资绿色通道制度</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推动上下联手、部门联动</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强化主动服务、责任担当</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加强沟通联系、分工合作</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帮助企业解决在股改、挂牌、上市过程中遇到的问题。</w:t>
            </w:r>
          </w:p>
          <w:p>
            <w:pPr>
              <w:snapToGrid w:val="0"/>
              <w:spacing w:line="360" w:lineRule="auto"/>
              <w:ind w:firstLine="562" w:firstLineChars="200"/>
              <w:rPr>
                <w:rFonts w:ascii="仿宋" w:hAnsi="仿宋" w:eastAsia="仿宋_GB2312" w:cs="宋体"/>
                <w:bCs/>
                <w:color w:val="000000" w:themeColor="text1"/>
                <w:kern w:val="0"/>
                <w:sz w:val="28"/>
                <w:szCs w:val="32"/>
                <w14:textFill>
                  <w14:solidFill>
                    <w14:schemeClr w14:val="tx1"/>
                  </w14:solidFill>
                </w14:textFill>
              </w:rPr>
            </w:pPr>
            <w:r>
              <w:rPr>
                <w:rFonts w:ascii="仿宋" w:hAnsi="仿宋" w:eastAsia="仿宋_GB2312" w:cs="宋体"/>
                <w:b/>
                <w:bCs/>
                <w:color w:val="000000" w:themeColor="text1"/>
                <w:kern w:val="0"/>
                <w:sz w:val="28"/>
                <w:szCs w:val="32"/>
                <w14:textFill>
                  <w14:solidFill>
                    <w14:schemeClr w14:val="tx1"/>
                  </w14:solidFill>
                </w14:textFill>
              </w:rPr>
              <w:t>建立资本市场专家咨询机制</w:t>
            </w:r>
            <w:r>
              <w:rPr>
                <w:rFonts w:hint="eastAsia" w:ascii="仿宋" w:hAnsi="仿宋" w:eastAsia="仿宋_GB2312" w:cs="宋体"/>
                <w:b/>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组建资本市场专家咨询团队</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普及资本市场政策法规知识</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为企业提供咨询、辅导等服务</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增强把握和利用多层次资本市场的能力。专家咨询队伍由政府相关部门、证券管理部门、证券交易所、专业研究智库及优秀中介服务机构、私募投资基金等代表组成。</w:t>
            </w:r>
            <w:r>
              <w:rPr>
                <w:rFonts w:hint="eastAsia" w:ascii="仿宋" w:hAnsi="仿宋" w:eastAsia="仿宋_GB2312" w:cs="宋体"/>
                <w:bCs/>
                <w:color w:val="000000" w:themeColor="text1"/>
                <w:kern w:val="0"/>
                <w:sz w:val="28"/>
                <w:szCs w:val="32"/>
                <w14:textFill>
                  <w14:solidFill>
                    <w14:schemeClr w14:val="tx1"/>
                  </w14:solidFill>
                </w14:textFill>
              </w:rPr>
              <w:t>开展资本市场巡回大讲堂活动，组织中介机构深入企业进行一对一指导和服务，着力解决企业“不敢、不想、不会”上市的问题。</w:t>
            </w:r>
          </w:p>
          <w:p>
            <w:pPr>
              <w:snapToGrid w:val="0"/>
              <w:spacing w:line="360" w:lineRule="auto"/>
              <w:ind w:firstLine="562" w:firstLineChars="200"/>
              <w:rPr>
                <w:rFonts w:ascii="仿宋" w:hAnsi="仿宋" w:eastAsia="仿宋_GB2312" w:cs="宋体"/>
                <w:b/>
                <w:bCs/>
                <w:color w:val="000000" w:themeColor="text1"/>
                <w:kern w:val="0"/>
                <w:sz w:val="28"/>
                <w:szCs w:val="32"/>
                <w14:textFill>
                  <w14:solidFill>
                    <w14:schemeClr w14:val="tx1"/>
                  </w14:solidFill>
                </w14:textFill>
              </w:rPr>
            </w:pPr>
            <w:r>
              <w:rPr>
                <w:rFonts w:ascii="仿宋" w:hAnsi="仿宋" w:eastAsia="仿宋_GB2312" w:cs="宋体"/>
                <w:b/>
                <w:bCs/>
                <w:color w:val="000000" w:themeColor="text1"/>
                <w:kern w:val="0"/>
                <w:sz w:val="28"/>
                <w:szCs w:val="32"/>
                <w14:textFill>
                  <w14:solidFill>
                    <w14:schemeClr w14:val="tx1"/>
                  </w14:solidFill>
                </w14:textFill>
              </w:rPr>
              <w:t>加强上市挂牌后备企业培育</w:t>
            </w:r>
            <w:r>
              <w:rPr>
                <w:rFonts w:hint="eastAsia" w:ascii="仿宋" w:hAnsi="仿宋" w:eastAsia="仿宋_GB2312" w:cs="宋体"/>
                <w:b/>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建立上市挂牌后备资源库</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做好后备资源的挖掘、培育工作</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重点挖掘和筛选符合国家产业政策、研发能力强、主营业务突出、竞争力强、盈利能力好的企业以及“独角兽企业”、“瞪羚企业”等</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纳入市级后备资源信息库进行培育。加大对上市公司并购重组的引导支持</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鼓励上市企业通过并购国内外新技术、新产品、新市场做大做优做强。</w:t>
            </w:r>
          </w:p>
          <w:p>
            <w:pPr>
              <w:snapToGrid w:val="0"/>
              <w:spacing w:line="360" w:lineRule="auto"/>
              <w:ind w:firstLine="562" w:firstLineChars="200"/>
              <w:rPr>
                <w:rFonts w:ascii="仿宋" w:hAnsi="仿宋" w:eastAsia="仿宋_GB2312" w:cs="宋体"/>
                <w:bCs/>
                <w:color w:val="000000" w:themeColor="text1"/>
                <w:kern w:val="0"/>
                <w:sz w:val="28"/>
                <w:szCs w:val="32"/>
                <w14:textFill>
                  <w14:solidFill>
                    <w14:schemeClr w14:val="tx1"/>
                  </w14:solidFill>
                </w14:textFill>
              </w:rPr>
            </w:pPr>
            <w:r>
              <w:rPr>
                <w:rFonts w:ascii="仿宋" w:hAnsi="仿宋" w:eastAsia="仿宋_GB2312" w:cs="宋体"/>
                <w:b/>
                <w:bCs/>
                <w:color w:val="000000" w:themeColor="text1"/>
                <w:kern w:val="0"/>
                <w:sz w:val="28"/>
                <w:szCs w:val="32"/>
                <w14:textFill>
                  <w14:solidFill>
                    <w14:schemeClr w14:val="tx1"/>
                  </w14:solidFill>
                </w14:textFill>
              </w:rPr>
              <w:t>加大上市挂牌政策扶持</w:t>
            </w:r>
            <w:r>
              <w:rPr>
                <w:rFonts w:hint="eastAsia" w:ascii="仿宋" w:hAnsi="仿宋" w:eastAsia="仿宋_GB2312" w:cs="宋体"/>
                <w:b/>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市政府安排市级推进企业上市挂牌工作专项资金</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纳入市级财政每年统筹安排的金融产业发展专项资金</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用于上市培育引导、宣传动员、考察调研、培训推介、奖励补助和鼓励上市公司再融资、兼并重组等</w:t>
            </w:r>
            <w:r>
              <w:rPr>
                <w:rFonts w:hint="eastAsia" w:ascii="仿宋" w:hAnsi="仿宋" w:eastAsia="仿宋_GB2312" w:cs="宋体"/>
                <w:bCs/>
                <w:color w:val="000000" w:themeColor="text1"/>
                <w:kern w:val="0"/>
                <w:sz w:val="28"/>
                <w:szCs w:val="32"/>
                <w14:textFill>
                  <w14:solidFill>
                    <w14:schemeClr w14:val="tx1"/>
                  </w14:solidFill>
                </w14:textFill>
              </w:rPr>
              <w:t>，</w:t>
            </w:r>
            <w:r>
              <w:rPr>
                <w:rFonts w:ascii="仿宋" w:hAnsi="仿宋" w:eastAsia="仿宋_GB2312" w:cs="宋体"/>
                <w:bCs/>
                <w:color w:val="000000" w:themeColor="text1"/>
                <w:kern w:val="0"/>
                <w:sz w:val="28"/>
                <w:szCs w:val="32"/>
                <w14:textFill>
                  <w14:solidFill>
                    <w14:schemeClr w14:val="tx1"/>
                  </w14:solidFill>
                </w14:textFill>
              </w:rPr>
              <w:t>促进企业通过多层次资本市场实现转型升级、做大做强</w:t>
            </w:r>
            <w:r>
              <w:rPr>
                <w:rFonts w:hint="eastAsia" w:ascii="仿宋" w:hAnsi="仿宋" w:eastAsia="仿宋_GB2312" w:cs="宋体"/>
                <w:bCs/>
                <w:color w:val="000000" w:themeColor="text1"/>
                <w:kern w:val="0"/>
                <w:sz w:val="28"/>
                <w:szCs w:val="32"/>
                <w14:textFill>
                  <w14:solidFill>
                    <w14:schemeClr w14:val="tx1"/>
                  </w14:solidFill>
                </w14:textFill>
              </w:rPr>
              <w:t>。将上市公司产品和服务优先纳入政府招标采购和重点项目招标采购目录，支持其首台（套）重大技术装备、重点新材料及研发技术服务在郑州市的推广和应用。</w:t>
            </w:r>
          </w:p>
        </w:tc>
      </w:tr>
    </w:tbl>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推动地方金融机构深化改革。鼓励金融机构组建战略性新兴产业金融服务专营机构，建立相应的客户准入标准和授信审批机制，对战略性新兴产业项目优先给予信贷支持。以特色化发展打造核心竞争力，</w:t>
      </w:r>
      <w:r>
        <w:rPr>
          <w:rFonts w:hint="eastAsia" w:ascii="仿宋" w:hAnsi="仿宋" w:eastAsia="仿宋_GB2312" w:cs="宋体"/>
          <w:bCs/>
          <w:color w:val="000000" w:themeColor="text1"/>
          <w:kern w:val="0"/>
          <w:sz w:val="32"/>
          <w:szCs w:val="32"/>
          <w:lang w:eastAsia="zh-CN"/>
          <w14:textFill>
            <w14:solidFill>
              <w14:schemeClr w14:val="tx1"/>
            </w14:solidFill>
          </w14:textFill>
        </w:rPr>
        <w:t>更好地服务</w:t>
      </w:r>
      <w:r>
        <w:rPr>
          <w:rFonts w:hint="eastAsia" w:ascii="仿宋" w:hAnsi="仿宋" w:eastAsia="仿宋_GB2312" w:cs="宋体"/>
          <w:bCs/>
          <w:color w:val="000000" w:themeColor="text1"/>
          <w:kern w:val="0"/>
          <w:sz w:val="32"/>
          <w:szCs w:val="32"/>
          <w14:textFill>
            <w14:solidFill>
              <w14:schemeClr w14:val="tx1"/>
            </w14:solidFill>
          </w14:textFill>
        </w:rPr>
        <w:t>中小微企业。鼓励驻郑金融机构针对科技产业、文化产业“小规模轻资产”特性，开发专属金融产品，助推金融与科技、文化产业融合，打造有郑州特色的金融品牌。完善科技贷款风险分担机制，扩大“郑科贷”覆盖面和规模，完善科技贷款风险分担机制，加大郑州市科技型企业贷款支持力度。积极与阿里巴巴、华为、腾讯、科大讯飞等互联网巨头合作，探索运用互联网、大数据、区块链、云计算、人工智能等金融科技手段搭建综合金融服务平台。组建郑州市科技金融服务联盟，开展金融服务进企业等活动。</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完善金融配套服务体系。探索设立中小企业融资租赁专营公司、社区银行，发展多元化的中小企业金融经营主体。推动银行机构创新发展产业链融资、企业群融资、小额循环贷款、租金收入质押贷款等业务。推进科技银行、科技保险、科技小额贷款公司等科技金融专营机构建设。引导金融机构开发适合科技企业特点的信贷融资产品。打造中原基金岛私募基金服务全生态，配套私募类基金产业链服务机构，提供工商、税务、审核备案、咨询等一站式服务，形成业态鲜明、模式创新、环境一流、服务精准的基金生态圈。</w:t>
      </w:r>
      <w:r>
        <w:rPr>
          <w:rFonts w:ascii="仿宋" w:hAnsi="仿宋" w:eastAsia="仿宋_GB2312" w:cs="宋体"/>
          <w:bCs/>
          <w:color w:val="000000" w:themeColor="text1"/>
          <w:kern w:val="0"/>
          <w:sz w:val="32"/>
          <w:szCs w:val="32"/>
          <w14:textFill>
            <w14:solidFill>
              <w14:schemeClr w14:val="tx1"/>
            </w14:solidFill>
          </w14:textFill>
        </w:rPr>
        <w:t>积极引进国内外知名会计、律师、评估、评级等与金融核心业务密切相关的各类中介服务机构，建成全国重要的区域性金融中介服务中心。鼓励和引导担保机构整合资源、扩大规模、创新产品、深化服务，鼓励设立再担保机构，提升融资担保能力。加强征信体系建设，</w:t>
      </w:r>
      <w:r>
        <w:rPr>
          <w:rFonts w:hint="eastAsia" w:ascii="仿宋" w:hAnsi="仿宋" w:eastAsia="仿宋_GB2312" w:cs="宋体"/>
          <w:bCs/>
          <w:color w:val="000000" w:themeColor="text1"/>
          <w:kern w:val="0"/>
          <w:sz w:val="32"/>
          <w:szCs w:val="32"/>
          <w14:textFill>
            <w14:solidFill>
              <w14:schemeClr w14:val="tx1"/>
            </w14:solidFill>
          </w14:textFill>
        </w:rPr>
        <w:t>有效</w:t>
      </w:r>
      <w:r>
        <w:rPr>
          <w:rFonts w:ascii="仿宋" w:hAnsi="仿宋" w:eastAsia="仿宋_GB2312" w:cs="宋体"/>
          <w:bCs/>
          <w:color w:val="000000" w:themeColor="text1"/>
          <w:kern w:val="0"/>
          <w:sz w:val="32"/>
          <w:szCs w:val="32"/>
          <w14:textFill>
            <w14:solidFill>
              <w14:schemeClr w14:val="tx1"/>
            </w14:solidFill>
          </w14:textFill>
        </w:rPr>
        <w:t>整合金融、</w:t>
      </w:r>
      <w:r>
        <w:rPr>
          <w:rFonts w:hint="eastAsia" w:ascii="仿宋" w:hAnsi="仿宋" w:eastAsia="仿宋_GB2312" w:cs="宋体"/>
          <w:bCs/>
          <w:color w:val="000000" w:themeColor="text1"/>
          <w:kern w:val="0"/>
          <w:sz w:val="32"/>
          <w:szCs w:val="32"/>
          <w14:textFill>
            <w14:solidFill>
              <w14:schemeClr w14:val="tx1"/>
            </w14:solidFill>
          </w14:textFill>
        </w:rPr>
        <w:t>市监</w:t>
      </w:r>
      <w:r>
        <w:rPr>
          <w:rFonts w:ascii="仿宋" w:hAnsi="仿宋" w:eastAsia="仿宋_GB2312" w:cs="宋体"/>
          <w:bCs/>
          <w:color w:val="000000" w:themeColor="text1"/>
          <w:kern w:val="0"/>
          <w:sz w:val="32"/>
          <w:szCs w:val="32"/>
          <w14:textFill>
            <w14:solidFill>
              <w14:schemeClr w14:val="tx1"/>
            </w14:solidFill>
          </w14:textFill>
        </w:rPr>
        <w:t>、税务、劳动、环保、质监、公安等部门的信息资源，加快</w:t>
      </w:r>
      <w:r>
        <w:rPr>
          <w:rFonts w:hint="eastAsia" w:ascii="仿宋" w:hAnsi="仿宋" w:eastAsia="仿宋_GB2312" w:cs="宋体"/>
          <w:bCs/>
          <w:color w:val="000000" w:themeColor="text1"/>
          <w:kern w:val="0"/>
          <w:sz w:val="32"/>
          <w:szCs w:val="32"/>
          <w14:textFill>
            <w14:solidFill>
              <w14:schemeClr w14:val="tx1"/>
            </w14:solidFill>
          </w14:textFill>
        </w:rPr>
        <w:t>建成</w:t>
      </w:r>
      <w:r>
        <w:rPr>
          <w:rFonts w:ascii="仿宋" w:hAnsi="仿宋" w:eastAsia="仿宋_GB2312" w:cs="宋体"/>
          <w:bCs/>
          <w:color w:val="000000" w:themeColor="text1"/>
          <w:kern w:val="0"/>
          <w:sz w:val="32"/>
          <w:szCs w:val="32"/>
          <w14:textFill>
            <w14:solidFill>
              <w14:schemeClr w14:val="tx1"/>
            </w14:solidFill>
          </w14:textFill>
        </w:rPr>
        <w:t>覆盖全市所有生产经营主体的信用档案，</w:t>
      </w:r>
      <w:r>
        <w:rPr>
          <w:rFonts w:hint="eastAsia" w:ascii="仿宋" w:hAnsi="仿宋" w:eastAsia="仿宋_GB2312" w:cs="宋体"/>
          <w:bCs/>
          <w:color w:val="000000" w:themeColor="text1"/>
          <w:kern w:val="0"/>
          <w:sz w:val="32"/>
          <w:szCs w:val="32"/>
          <w14:textFill>
            <w14:solidFill>
              <w14:schemeClr w14:val="tx1"/>
            </w14:solidFill>
          </w14:textFill>
        </w:rPr>
        <w:t>持续</w:t>
      </w:r>
      <w:r>
        <w:rPr>
          <w:rFonts w:ascii="仿宋" w:hAnsi="仿宋" w:eastAsia="仿宋_GB2312" w:cs="宋体"/>
          <w:bCs/>
          <w:color w:val="000000" w:themeColor="text1"/>
          <w:kern w:val="0"/>
          <w:sz w:val="32"/>
          <w:szCs w:val="32"/>
          <w14:textFill>
            <w14:solidFill>
              <w14:schemeClr w14:val="tx1"/>
            </w14:solidFill>
          </w14:textFill>
        </w:rPr>
        <w:t>完善全市企业与个人征信体系。</w:t>
      </w:r>
      <w:r>
        <w:rPr>
          <w:rFonts w:hint="eastAsia" w:ascii="仿宋" w:hAnsi="仿宋" w:eastAsia="仿宋_GB2312" w:cs="宋体"/>
          <w:bCs/>
          <w:color w:val="000000" w:themeColor="text1"/>
          <w:kern w:val="0"/>
          <w:sz w:val="32"/>
          <w:szCs w:val="32"/>
          <w14:textFill>
            <w14:solidFill>
              <w14:schemeClr w14:val="tx1"/>
            </w14:solidFill>
          </w14:textFill>
        </w:rPr>
        <w:t xml:space="preserve">积极开展信用保险、科技保险等服务创新，推广科技型中小企业履约保证保险、首台（套）创新产品保险、产品研发责任保险、专利保险等科技保险。 </w:t>
      </w:r>
    </w:p>
    <w:p>
      <w:pPr>
        <w:pStyle w:val="3"/>
        <w:snapToGrid w:val="0"/>
        <w:spacing w:before="0" w:after="0" w:line="360" w:lineRule="auto"/>
        <w:ind w:firstLine="643" w:firstLineChars="200"/>
        <w:rPr>
          <w:rFonts w:ascii="仿宋_GB2312" w:hAnsi="仿宋_GB2312" w:eastAsia="仿宋_GB2312" w:cs="仿宋_GB2312"/>
          <w:color w:val="000000" w:themeColor="text1"/>
          <w14:textFill>
            <w14:solidFill>
              <w14:schemeClr w14:val="tx1"/>
            </w14:solidFill>
          </w14:textFill>
        </w:rPr>
      </w:pPr>
      <w:bookmarkStart w:id="40" w:name="_Toc21384"/>
      <w:r>
        <w:rPr>
          <w:rFonts w:hint="eastAsia" w:ascii="仿宋_GB2312" w:hAnsi="仿宋_GB2312" w:eastAsia="仿宋_GB2312" w:cs="仿宋_GB2312"/>
          <w:color w:val="000000" w:themeColor="text1"/>
          <w14:textFill>
            <w14:solidFill>
              <w14:schemeClr w14:val="tx1"/>
            </w14:solidFill>
          </w14:textFill>
        </w:rPr>
        <w:t>（三）着力打造研发及知识产权服务新高地</w:t>
      </w:r>
      <w:bookmarkEnd w:id="40"/>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bookmarkStart w:id="41" w:name="_Toc469991575"/>
      <w:r>
        <w:rPr>
          <w:rFonts w:hint="eastAsia" w:ascii="仿宋" w:hAnsi="仿宋" w:eastAsia="仿宋_GB2312" w:cs="宋体"/>
          <w:bCs/>
          <w:color w:val="000000" w:themeColor="text1"/>
          <w:kern w:val="0"/>
          <w:sz w:val="32"/>
          <w:szCs w:val="32"/>
          <w14:textFill>
            <w14:solidFill>
              <w14:schemeClr w14:val="tx1"/>
            </w14:solidFill>
          </w14:textFill>
        </w:rPr>
        <w:t>集聚高端创新资源，增强科技源头供给。抓住黄河流域生态保护和高质量发展战略，以建设国家自主创新示范区为引领，加快建设中原科技城，依托沿黄生态走廊建设沿黄科创带。依托黄河战略谋划建设黄河实验室，加快推进嵩山实验室、神农种业实验室建设，积极打造对接国家战略的科技力量体系。鼓励行业龙头企业，聚焦企业发展瓶颈和产业链“卡脖子”技术，组建一批高层次联合创新中心，提升产业链整体竞争力。持续推进产学研深度融合，支持企业、大学和科研机构等在战略层面开展紧密合作，建设一批新兴产业创新联盟，打造合作共赢的产学研协同创新平台。加快推进国家技术转移郑州中心等重大项目建设，争创国家级地下工程装备技术创新中心，积极谋划建设智能传感器产业共性关键技术创新与服务平台。</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大力推动高水平新型研发机构建设。积极引进中科院、中国科学院大学、上海交通大学等国内外知名高校院所，在郑联合建设一批高水平新型研发机构。重点培育一批成长性好、发展速度快的新型研发机构，支持其成长为河南省重大新型研发机构。积极引导企业参与新型研发机构建设。充分发挥市场引领作用，大力推行合作方投资、企业（民间资本）投资与政府补助相结合的新型研发组织建设模式，支持行业企业利用自身平台资源优势，通过供应链关联协作有效整合资源，建设市场导向型新型研发机构。完善政府财务优惠政策和扶持制度，促进新型研发机构的资源网络化、组织平台化、产业深植化发展。</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加强科技研发，塑造创新发展新优势。把握新一轮科技革命与产业变革趋势，前瞻性布局前沿、新兴、交叉、边缘等学科领域探索研究，支撑重大科技突破，培育推动战略性新兴产业创新的关键核心技术与产品。滚动编制战略性新兴产业亟需突破的技术清单，遵循科研规律，创新科研范式，完善“揭榜挂帅”、PI制等科研组织形式，形成一批自主创新成果。结合郑州产业基础和创新优势，依托战略性新兴产业重大工程和重大科技成果转化专项，选准发展方向，前瞻布局、重点突破一批关键共性技术。统筹实施市本级科技创新项目，重点在</w:t>
      </w:r>
      <w:r>
        <w:rPr>
          <w:rFonts w:ascii="仿宋" w:hAnsi="仿宋" w:eastAsia="仿宋_GB2312" w:cs="宋体"/>
          <w:bCs/>
          <w:color w:val="000000" w:themeColor="text1"/>
          <w:kern w:val="0"/>
          <w:sz w:val="32"/>
          <w:szCs w:val="32"/>
          <w14:textFill>
            <w14:solidFill>
              <w14:schemeClr w14:val="tx1"/>
            </w14:solidFill>
          </w14:textFill>
        </w:rPr>
        <w:t>量子信息、</w:t>
      </w:r>
      <w:r>
        <w:rPr>
          <w:rFonts w:hint="eastAsia" w:ascii="仿宋" w:hAnsi="仿宋" w:eastAsia="仿宋_GB2312" w:cs="宋体"/>
          <w:bCs/>
          <w:color w:val="000000" w:themeColor="text1"/>
          <w:kern w:val="0"/>
          <w:sz w:val="32"/>
          <w:szCs w:val="32"/>
          <w14:textFill>
            <w14:solidFill>
              <w14:schemeClr w14:val="tx1"/>
            </w14:solidFill>
          </w14:textFill>
        </w:rPr>
        <w:t>区块链、网络安全、智能传感器、北斗、6G、工业互联网、超硬材料、人工智能、食品加工、新能源汽车等领域实施一批重大科技专项，鼓励企业加大研发投入，支持攻克一批制约产业发展的核心关键技术，提升战略性新兴产业产业链的集成创新能力。支持高校院所依托专业（学科）优势开展前沿创新研究，开展关键技术攻关，形成原创成果重大突破。</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畅通科技成果转化渠道，提升科技成果转化效率</w:t>
      </w:r>
      <w:r>
        <w:rPr>
          <w:rFonts w:ascii="仿宋" w:hAnsi="仿宋" w:eastAsia="仿宋_GB2312" w:cs="宋体"/>
          <w:bCs/>
          <w:color w:val="000000" w:themeColor="text1"/>
          <w:kern w:val="0"/>
          <w:sz w:val="32"/>
          <w:szCs w:val="32"/>
          <w14:textFill>
            <w14:solidFill>
              <w14:schemeClr w14:val="tx1"/>
            </w14:solidFill>
          </w14:textFill>
        </w:rPr>
        <w:t>。</w:t>
      </w:r>
      <w:bookmarkStart w:id="42" w:name="_Toc469991577"/>
      <w:r>
        <w:rPr>
          <w:rFonts w:hint="eastAsia" w:ascii="仿宋" w:hAnsi="仿宋" w:eastAsia="仿宋_GB2312" w:cs="宋体"/>
          <w:bCs/>
          <w:color w:val="000000" w:themeColor="text1"/>
          <w:kern w:val="0"/>
          <w:sz w:val="32"/>
          <w:szCs w:val="32"/>
          <w14:textFill>
            <w14:solidFill>
              <w14:schemeClr w14:val="tx1"/>
            </w14:solidFill>
          </w14:textFill>
        </w:rPr>
        <w:t>围绕产业转型升级和经济社会发展的重大需求，招引重大科技成果来郑州产业化，支撑战略性新兴产业提升发展。</w:t>
      </w:r>
      <w:bookmarkEnd w:id="42"/>
      <w:r>
        <w:rPr>
          <w:rFonts w:hint="eastAsia" w:ascii="仿宋" w:hAnsi="仿宋" w:eastAsia="仿宋_GB2312" w:cs="宋体"/>
          <w:bCs/>
          <w:color w:val="000000" w:themeColor="text1"/>
          <w:kern w:val="0"/>
          <w:sz w:val="32"/>
          <w:szCs w:val="32"/>
          <w14:textFill>
            <w14:solidFill>
              <w14:schemeClr w14:val="tx1"/>
            </w14:solidFill>
          </w14:textFill>
        </w:rPr>
        <w:t>实施“科技成果转化行动计划”，健全科技服务市场体系，发展多元科技成果转化模式，着力引导国内外技术成果、高校院所、龙头企业、中介机构、资金人才等要素资源</w:t>
      </w:r>
      <w:r>
        <w:rPr>
          <w:rFonts w:ascii="仿宋" w:hAnsi="仿宋" w:eastAsia="仿宋_GB2312" w:cs="宋体"/>
          <w:bCs/>
          <w:color w:val="000000" w:themeColor="text1"/>
          <w:kern w:val="0"/>
          <w:sz w:val="32"/>
          <w:szCs w:val="32"/>
          <w14:textFill>
            <w14:solidFill>
              <w14:schemeClr w14:val="tx1"/>
            </w14:solidFill>
          </w14:textFill>
        </w:rPr>
        <w:t>来郑交易，建设</w:t>
      </w:r>
      <w:r>
        <w:rPr>
          <w:rFonts w:hint="eastAsia" w:ascii="仿宋" w:hAnsi="仿宋" w:eastAsia="仿宋_GB2312" w:cs="宋体"/>
          <w:bCs/>
          <w:color w:val="000000" w:themeColor="text1"/>
          <w:kern w:val="0"/>
          <w:sz w:val="32"/>
          <w:szCs w:val="32"/>
          <w14:textFill>
            <w14:solidFill>
              <w14:schemeClr w14:val="tx1"/>
            </w14:solidFill>
          </w14:textFill>
        </w:rPr>
        <w:t>服务郑州、辐射全国的技术交易场所，全面提升科技成果转化效率。鼓励高校、科研院所、企业等创新主体开展技术交易活动，修订完善科技成果转移转化政策，加大技术转移激励扶持力度。</w:t>
      </w:r>
      <w:r>
        <w:rPr>
          <w:rFonts w:eastAsia="仿宋_GB2312"/>
          <w:sz w:val="32"/>
          <w:szCs w:val="32"/>
        </w:rPr>
        <w:t>推动高校、科研院所、产业联盟、工程中心等面向市场开展中试和技术熟化等集成服务。</w:t>
      </w:r>
      <w:r>
        <w:rPr>
          <w:rFonts w:hint="eastAsia" w:ascii="仿宋_GB2312" w:hAnsi="Times New Roman" w:eastAsia="仿宋_GB2312" w:cs="Times New Roman"/>
          <w:sz w:val="32"/>
          <w:szCs w:val="32"/>
        </w:rPr>
        <w:t>完善现有转移转化机构的服务功能，引导其市场化、规范化发展，强化技术经纪、技术集成与经验、技术投融资等服务。</w:t>
      </w:r>
      <w:r>
        <w:rPr>
          <w:rFonts w:ascii="仿宋" w:hAnsi="仿宋" w:eastAsia="仿宋_GB2312" w:cs="宋体"/>
          <w:bCs/>
          <w:color w:val="000000" w:themeColor="text1"/>
          <w:kern w:val="0"/>
          <w:sz w:val="32"/>
          <w:szCs w:val="32"/>
          <w14:textFill>
            <w14:solidFill>
              <w14:schemeClr w14:val="tx1"/>
            </w14:solidFill>
          </w14:textFill>
        </w:rPr>
        <w:t>依托行业组织、技术市场和知识产权运营平台等机构，促进科技成果供需信息公开化，实现成果信息互通和有效对接。</w:t>
      </w:r>
      <w:r>
        <w:rPr>
          <w:rFonts w:hint="eastAsia" w:ascii="仿宋" w:hAnsi="仿宋" w:eastAsia="仿宋_GB2312" w:cs="宋体"/>
          <w:bCs/>
          <w:color w:val="000000" w:themeColor="text1"/>
          <w:kern w:val="0"/>
          <w:sz w:val="32"/>
          <w:szCs w:val="32"/>
          <w14:textFill>
            <w14:solidFill>
              <w14:schemeClr w14:val="tx1"/>
            </w14:solidFill>
          </w14:textFill>
        </w:rPr>
        <w:t>支持市场化科研院所、技术成果持有个人通过技术转让、技术许可、技术创业、技术入股等方式实现成果转化和价值增值。支持转移转化人才引进和培养，畅通科技成果转移转化人才职业发展通道，将郑州市技术经理人纳入职称评审系列。</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jc w:val="center"/>
              <w:rPr>
                <w:rFonts w:ascii="楷体" w:hAnsi="楷体" w:eastAsia="楷体"/>
                <w:kern w:val="0"/>
                <w:sz w:val="28"/>
                <w:szCs w:val="32"/>
              </w:rPr>
            </w:pPr>
            <w:r>
              <w:rPr>
                <w:rFonts w:hint="eastAsia" w:ascii="黑体" w:hAnsi="黑体" w:eastAsia="黑体" w:cs="黑体"/>
                <w:kern w:val="0"/>
                <w:sz w:val="28"/>
                <w:szCs w:val="28"/>
              </w:rPr>
              <w:t>专栏2  加快促进科技成果转化行动计划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tabs>
                <w:tab w:val="left" w:pos="4725"/>
              </w:tabs>
              <w:adjustRightInd w:val="0"/>
              <w:snapToGrid w:val="0"/>
              <w:spacing w:line="560" w:lineRule="exact"/>
              <w:ind w:firstLine="641"/>
              <w:outlineLvl w:val="2"/>
              <w:rPr>
                <w:rFonts w:ascii="仿宋" w:hAnsi="仿宋" w:eastAsia="仿宋_GB2312" w:cs="宋体"/>
                <w:bCs/>
                <w:color w:val="000000" w:themeColor="text1"/>
                <w:kern w:val="0"/>
                <w:sz w:val="28"/>
                <w:szCs w:val="32"/>
                <w14:textFill>
                  <w14:solidFill>
                    <w14:schemeClr w14:val="tx1"/>
                  </w14:solidFill>
                </w14:textFill>
              </w:rPr>
            </w:pPr>
            <w:r>
              <w:rPr>
                <w:rFonts w:hint="eastAsia" w:ascii="仿宋" w:hAnsi="仿宋" w:eastAsia="仿宋_GB2312" w:cs="宋体"/>
                <w:b/>
                <w:bCs/>
                <w:color w:val="000000" w:themeColor="text1"/>
                <w:kern w:val="0"/>
                <w:sz w:val="28"/>
                <w:szCs w:val="32"/>
                <w14:textFill>
                  <w14:solidFill>
                    <w14:schemeClr w14:val="tx1"/>
                  </w14:solidFill>
                </w14:textFill>
              </w:rPr>
              <w:t>强化项目引领带动。</w:t>
            </w:r>
            <w:r>
              <w:rPr>
                <w:rFonts w:hint="eastAsia" w:ascii="仿宋" w:hAnsi="仿宋" w:eastAsia="仿宋_GB2312" w:cs="宋体"/>
                <w:bCs/>
                <w:color w:val="000000" w:themeColor="text1"/>
                <w:kern w:val="0"/>
                <w:sz w:val="28"/>
                <w:szCs w:val="32"/>
                <w14:textFill>
                  <w14:solidFill>
                    <w14:schemeClr w14:val="tx1"/>
                  </w14:solidFill>
                </w14:textFill>
              </w:rPr>
              <w:t>围绕战略性新兴产业链发展需求，组织实施一批科技成果转化应用示范项目，搭建一批实体应用场景，加快推进创新产品产业化、市场化。加大资金支持力度。设立郑州科技成果转化基地建设专项资金，支持转化基地开展成果转化、中试试制、产业化推广等活动。修订《郑州市科技成果转移转化补助实施细则》，创新科技服务模式，延展科技创新服务链条，促进科技服务业专业化、网络化、规模化发展，形成中部区域领先的科技服务业产业基地。</w:t>
            </w:r>
          </w:p>
          <w:p>
            <w:pPr>
              <w:adjustRightInd w:val="0"/>
              <w:snapToGrid w:val="0"/>
              <w:spacing w:line="560" w:lineRule="exact"/>
              <w:ind w:firstLine="562" w:firstLineChars="200"/>
              <w:rPr>
                <w:rFonts w:ascii="仿宋" w:hAnsi="仿宋" w:eastAsia="仿宋_GB2312" w:cs="宋体"/>
                <w:bCs/>
                <w:color w:val="000000" w:themeColor="text1"/>
                <w:kern w:val="0"/>
                <w:sz w:val="28"/>
                <w:szCs w:val="32"/>
                <w14:textFill>
                  <w14:solidFill>
                    <w14:schemeClr w14:val="tx1"/>
                  </w14:solidFill>
                </w14:textFill>
              </w:rPr>
            </w:pPr>
            <w:r>
              <w:rPr>
                <w:rFonts w:hint="eastAsia" w:ascii="仿宋" w:hAnsi="仿宋" w:eastAsia="仿宋_GB2312" w:cs="宋体"/>
                <w:b/>
                <w:bCs/>
                <w:color w:val="000000" w:themeColor="text1"/>
                <w:kern w:val="0"/>
                <w:sz w:val="28"/>
                <w:szCs w:val="32"/>
                <w14:textFill>
                  <w14:solidFill>
                    <w14:schemeClr w14:val="tx1"/>
                  </w14:solidFill>
                </w14:textFill>
              </w:rPr>
              <w:t>健全科技服务市场体系。</w:t>
            </w:r>
            <w:r>
              <w:rPr>
                <w:rFonts w:hint="eastAsia" w:ascii="仿宋" w:hAnsi="仿宋" w:eastAsia="仿宋_GB2312" w:cs="宋体"/>
                <w:bCs/>
                <w:color w:val="000000" w:themeColor="text1"/>
                <w:kern w:val="0"/>
                <w:sz w:val="28"/>
                <w:szCs w:val="32"/>
                <w14:textFill>
                  <w14:solidFill>
                    <w14:schemeClr w14:val="tx1"/>
                  </w14:solidFill>
                </w14:textFill>
              </w:rPr>
              <w:t>推进国家技术转移郑州中心建设，加快建设郑州科技大市场，加速技术创新、成果转化和科技资源的统筹利用，把郑州科技大市场打造成为中部地区创新资源集聚高地和科技要素交易枢纽，推动科技成果与技术需求有效对接、精准匹配，促进一批符合产业需求方向、具有市场前景的科技成果加速转化落地。</w:t>
            </w:r>
          </w:p>
          <w:p>
            <w:pPr>
              <w:tabs>
                <w:tab w:val="left" w:pos="4725"/>
              </w:tabs>
              <w:adjustRightInd w:val="0"/>
              <w:snapToGrid w:val="0"/>
              <w:spacing w:line="560" w:lineRule="exact"/>
              <w:ind w:firstLine="641"/>
              <w:outlineLvl w:val="2"/>
              <w:rPr>
                <w:rFonts w:ascii="仿宋_GB2312" w:hAnsi="Times New Roman" w:eastAsia="仿宋_GB2312" w:cs="Times New Roman"/>
                <w:sz w:val="28"/>
                <w:szCs w:val="32"/>
              </w:rPr>
            </w:pPr>
            <w:r>
              <w:rPr>
                <w:rFonts w:hint="eastAsia" w:ascii="仿宋_GB2312" w:hAnsi="Times New Roman" w:eastAsia="仿宋_GB2312" w:cs="Times New Roman"/>
                <w:b/>
                <w:bCs/>
                <w:sz w:val="28"/>
                <w:szCs w:val="32"/>
              </w:rPr>
              <w:t>发展多元科技成果转化模式。</w:t>
            </w:r>
            <w:r>
              <w:rPr>
                <w:rFonts w:hint="eastAsia" w:ascii="仿宋_GB2312" w:eastAsia="仿宋_GB2312"/>
                <w:sz w:val="28"/>
                <w:szCs w:val="32"/>
              </w:rPr>
              <w:t>完善“技术跟着人走”的技术转移机制，开展“星期天工程师”、“院士专家企业行”等技术咨询、技术服务，</w:t>
            </w:r>
            <w:r>
              <w:rPr>
                <w:rFonts w:hint="eastAsia" w:ascii="仿宋_GB2312" w:hAnsi="Times New Roman" w:eastAsia="仿宋_GB2312" w:cs="Times New Roman"/>
                <w:sz w:val="28"/>
                <w:szCs w:val="32"/>
              </w:rPr>
              <w:t>提升科技成果转化的效率。支持企业开展面向高校院所的技术难题竞标、科技悬赏等“研发众包”模式，通过“企业出题、能者破题”的方式，集中力量解决企业技术创新需求、破解产业共性技术难题。</w:t>
            </w:r>
          </w:p>
          <w:p>
            <w:pPr>
              <w:adjustRightInd w:val="0"/>
              <w:snapToGrid w:val="0"/>
              <w:spacing w:line="560" w:lineRule="exact"/>
              <w:ind w:firstLine="562" w:firstLineChars="200"/>
              <w:rPr>
                <w:rFonts w:ascii="仿宋_GB2312" w:eastAsia="仿宋_GB2312"/>
                <w:sz w:val="28"/>
                <w:szCs w:val="32"/>
              </w:rPr>
            </w:pPr>
            <w:r>
              <w:rPr>
                <w:rFonts w:hint="eastAsia" w:ascii="仿宋_GB2312" w:hAnsi="Times New Roman" w:eastAsia="仿宋_GB2312" w:cs="Times New Roman"/>
                <w:b/>
                <w:bCs/>
                <w:sz w:val="28"/>
                <w:szCs w:val="32"/>
              </w:rPr>
              <w:t>持续深化校地校企合作。</w:t>
            </w:r>
            <w:r>
              <w:rPr>
                <w:rFonts w:hint="eastAsia" w:ascii="仿宋_GB2312" w:hAnsi="Times New Roman" w:eastAsia="仿宋_GB2312" w:cs="Times New Roman"/>
                <w:sz w:val="28"/>
                <w:szCs w:val="32"/>
              </w:rPr>
              <w:t>鼓励中科院、北京航空航天大学、西安交大等高校院所联合本地企业组建一批科技成果转化基地。推进河南省国家大学科技园、郑州大学国家大学科技园等高校科技园区建设，搭建高校科技成果转化、高新技术企业孵化、创新创业人才培养等产学研用结合平台。</w:t>
            </w:r>
            <w:r>
              <w:rPr>
                <w:rFonts w:hint="eastAsia" w:ascii="仿宋_GB2312" w:eastAsia="仿宋_GB2312"/>
                <w:sz w:val="28"/>
                <w:szCs w:val="32"/>
              </w:rPr>
              <w:t>定期到上海、北京等地开展科技成果系列对接活动，吸引一批优质科技成果来郑转化，打造全国技术转移枢纽。</w:t>
            </w:r>
          </w:p>
        </w:tc>
      </w:tr>
    </w:tbl>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大力提升科技服务水平。引入市场化运营主体，提供从原始创新到产业化的全流程服务，在全市构建一批全要素、低成本、便利化、开放式众创空间，形成“微成长、小升高、高变强”的梯次培育机制。围绕创新链布局服务链，提升多元化科技服务能力，聚焦电</w:t>
      </w:r>
      <w:r>
        <w:rPr>
          <w:rFonts w:hint="eastAsia" w:ascii="仿宋_GB2312" w:hAnsi="Times New Roman" w:eastAsia="仿宋_GB2312" w:cs="Times New Roman"/>
          <w:sz w:val="32"/>
          <w:szCs w:val="32"/>
        </w:rPr>
        <w:t>子信息、新能源汽车、生物医药、新材料等领域，大力发展研发设计、检验检测、专利导航等专业科技服务，提升科技创新和产业发展的支撑能力。</w:t>
      </w:r>
      <w:r>
        <w:rPr>
          <w:rFonts w:hint="eastAsia" w:ascii="仿宋_GB2312" w:eastAsia="仿宋_GB2312"/>
          <w:sz w:val="32"/>
          <w:szCs w:val="32"/>
        </w:rPr>
        <w:t>深化公益类科技服务机构改革，建立市场化的绩效考核和分配激励机制，完善市场化服务机制。</w:t>
      </w:r>
      <w:r>
        <w:rPr>
          <w:rFonts w:hint="eastAsia" w:ascii="仿宋_GB2312" w:hAnsi="Times New Roman" w:eastAsia="仿宋_GB2312" w:cs="Times New Roman"/>
          <w:sz w:val="32"/>
          <w:szCs w:val="32"/>
        </w:rPr>
        <w:t>加快发展会计、审计、法律、战略咨询等综合科技服务，提升企业的经营管理水平。探索发展融合交叉的科技服务新业态，推动科技大数据与知识服务、科技云服务等落地。大力培育工业大数据、虚拟仿真、智慧工厂（车间）改造提升工程服务、精益生产咨询等科技服务业态。</w:t>
      </w:r>
      <w:r>
        <w:rPr>
          <w:rFonts w:hint="eastAsia" w:ascii="仿宋_GB2312" w:eastAsia="仿宋_GB2312"/>
          <w:sz w:val="32"/>
          <w:szCs w:val="32"/>
        </w:rPr>
        <w:t>积极培育引进一批专业能力强、服务水平高、规模效益好的科技服务机构，支持国内外知名科技服务机构来郑设立分支机构，</w:t>
      </w:r>
      <w:r>
        <w:rPr>
          <w:rFonts w:hint="eastAsia" w:ascii="仿宋_GB2312" w:hAnsi="Times New Roman" w:eastAsia="仿宋_GB2312" w:cs="Times New Roman"/>
          <w:sz w:val="32"/>
          <w:szCs w:val="32"/>
        </w:rPr>
        <w:t>推动科技服务规模化、集群化发展，支持中原区打造科技服务产业集聚区。</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eastAsia="仿宋_GB2312"/>
          <w:sz w:val="32"/>
          <w:szCs w:val="32"/>
        </w:rPr>
        <w:t>加快拓展知识产权服务产业链</w:t>
      </w:r>
      <w:r>
        <w:rPr>
          <w:rFonts w:hint="eastAsia" w:eastAsia="仿宋_GB2312"/>
          <w:sz w:val="32"/>
          <w:szCs w:val="32"/>
        </w:rPr>
        <w:t>。</w:t>
      </w:r>
      <w:r>
        <w:rPr>
          <w:rFonts w:hint="eastAsia" w:ascii="仿宋" w:hAnsi="仿宋" w:eastAsia="仿宋_GB2312" w:cs="宋体"/>
          <w:bCs/>
          <w:color w:val="000000" w:themeColor="text1"/>
          <w:kern w:val="0"/>
          <w:sz w:val="32"/>
          <w:szCs w:val="32"/>
          <w14:textFill>
            <w14:solidFill>
              <w14:schemeClr w14:val="tx1"/>
            </w14:solidFill>
          </w14:textFill>
        </w:rPr>
        <w:t>积极培育知识产权中介机构和市场运营主体，完善专利代理人制度，提升知识产权价值和成果转化效率。</w:t>
      </w:r>
      <w:r>
        <w:rPr>
          <w:rFonts w:eastAsia="仿宋_GB2312"/>
          <w:sz w:val="32"/>
          <w:szCs w:val="32"/>
        </w:rPr>
        <w:t>加快发展知识产权战略研究、知识产权金融、知识产权咨询、知识产权运营、知识产权转移转化、知识产权评估等高端服务，</w:t>
      </w:r>
      <w:r>
        <w:rPr>
          <w:rFonts w:hint="eastAsia" w:ascii="仿宋" w:hAnsi="仿宋" w:eastAsia="仿宋_GB2312" w:cs="宋体"/>
          <w:bCs/>
          <w:color w:val="000000" w:themeColor="text1"/>
          <w:kern w:val="0"/>
          <w:sz w:val="32"/>
          <w:szCs w:val="32"/>
          <w14:textFill>
            <w14:solidFill>
              <w14:schemeClr w14:val="tx1"/>
            </w14:solidFill>
          </w14:textFill>
        </w:rPr>
        <w:t>强化知识产权保护和运营，引导企业加强知识产权前瞻性、战略性布局。建立完善战略性新兴产业领域新技术新产品新模式可纳入知识产权保护范围的制度规则，切实强化商业秘密保护。对知识产权侵权违规行为实行惩罚性赔偿制度，将知识产权侵权行为纳入信用考评体系。发挥国家知识产权局专利审查协作河南中心的带动效应，推动国家专利导航产业发展实验区、国家知识产权创意产业试点园区建设，引进和培育一批高水平、专业化的知识产权代理机构。筹建（郑州）知识产权中部运营中心，申建中国（郑州）知识产权保护中心。支持高新区发挥研发资源及各类创新平台密集优势，拓展研发服务与高技术服务，推动高新区打造公共技术服务集聚区、知识产权高质量服务集聚区。加快培育知识产权高端服务业态，开拓评估、交易、投融资等增值服务，促进知识产权资本化、市场化运作。培育知识产权服务品牌机构，建立战略新兴产业专项专利数据库，引导企业挖掘开发、合理利用创新要素和知识产权资源。</w:t>
      </w:r>
      <w:bookmarkEnd w:id="41"/>
    </w:p>
    <w:p>
      <w:pPr>
        <w:pStyle w:val="3"/>
        <w:snapToGrid w:val="0"/>
        <w:spacing w:before="0" w:after="0" w:line="360" w:lineRule="auto"/>
        <w:ind w:firstLine="643" w:firstLineChars="200"/>
        <w:rPr>
          <w:rFonts w:ascii="仿宋_GB2312" w:hAnsi="仿宋_GB2312" w:eastAsia="仿宋_GB2312" w:cs="仿宋_GB2312"/>
          <w:color w:val="000000" w:themeColor="text1"/>
          <w14:textFill>
            <w14:solidFill>
              <w14:schemeClr w14:val="tx1"/>
            </w14:solidFill>
          </w14:textFill>
        </w:rPr>
      </w:pPr>
      <w:bookmarkStart w:id="43" w:name="_Toc28259"/>
      <w:r>
        <w:rPr>
          <w:rFonts w:hint="eastAsia" w:ascii="仿宋_GB2312" w:hAnsi="仿宋_GB2312" w:eastAsia="仿宋_GB2312" w:cs="仿宋_GB2312"/>
          <w:color w:val="000000" w:themeColor="text1"/>
          <w14:textFill>
            <w14:solidFill>
              <w14:schemeClr w14:val="tx1"/>
            </w14:solidFill>
          </w14:textFill>
        </w:rPr>
        <w:t>（四）大力构建检验检测认证服务体系</w:t>
      </w:r>
      <w:bookmarkEnd w:id="43"/>
    </w:p>
    <w:p>
      <w:pPr>
        <w:snapToGrid w:val="0"/>
        <w:spacing w:line="360" w:lineRule="auto"/>
        <w:ind w:firstLine="640" w:firstLineChars="200"/>
        <w:rPr>
          <w:rFonts w:eastAsia="仿宋_GB2312"/>
          <w:sz w:val="32"/>
          <w:szCs w:val="32"/>
        </w:rPr>
      </w:pPr>
      <w:r>
        <w:rPr>
          <w:rFonts w:hint="eastAsia" w:ascii="仿宋" w:hAnsi="仿宋" w:eastAsia="仿宋_GB2312" w:cs="宋体"/>
          <w:bCs/>
          <w:color w:val="000000" w:themeColor="text1"/>
          <w:kern w:val="0"/>
          <w:sz w:val="32"/>
          <w:szCs w:val="32"/>
          <w14:textFill>
            <w14:solidFill>
              <w14:schemeClr w14:val="tx1"/>
            </w14:solidFill>
          </w14:textFill>
        </w:rPr>
        <w:t>大力推进检验检测机构发展壮大。</w:t>
      </w:r>
      <w:r>
        <w:rPr>
          <w:rFonts w:eastAsia="仿宋_GB2312"/>
          <w:sz w:val="32"/>
          <w:szCs w:val="32"/>
        </w:rPr>
        <w:t>加快培育一批检验检测、计量校准、技术评价、质量认证等专业公共服务机构，推进检验检测机构市场化运营，加快检测技术、产业形态、商业模式等创新应用，提升面向设计开发、生产制造、售后服务等全过程、全产业链、全生命周期检验检测认证服务能力，为企业开展技术和标准创新提供支撑平台。</w:t>
      </w:r>
      <w:r>
        <w:rPr>
          <w:rFonts w:hint="eastAsia" w:ascii="仿宋" w:hAnsi="仿宋" w:eastAsia="仿宋_GB2312" w:cs="宋体"/>
          <w:bCs/>
          <w:color w:val="000000" w:themeColor="text1"/>
          <w:kern w:val="0"/>
          <w:sz w:val="32"/>
          <w:szCs w:val="32"/>
          <w14:textFill>
            <w14:solidFill>
              <w14:schemeClr w14:val="tx1"/>
            </w14:solidFill>
          </w14:textFill>
        </w:rPr>
        <w:t>加快郑东新区国家质检中心郑州综合检测基地建设步伐，启动实施二期工程。强化检验检测体系建设，加强测试方法、测试技术等基础能力建设，搭建“郑州市检验检测公共服务平台”，建立检验检测相关数据库。支持</w:t>
      </w:r>
      <w:r>
        <w:rPr>
          <w:rFonts w:ascii="仿宋" w:hAnsi="仿宋" w:eastAsia="仿宋_GB2312" w:cs="宋体"/>
          <w:bCs/>
          <w:color w:val="000000" w:themeColor="text1"/>
          <w:kern w:val="0"/>
          <w:sz w:val="32"/>
          <w:szCs w:val="32"/>
          <w14:textFill>
            <w14:solidFill>
              <w14:schemeClr w14:val="tx1"/>
            </w14:solidFill>
          </w14:textFill>
        </w:rPr>
        <w:t>郑州计量先进技术研究院、</w:t>
      </w:r>
      <w:r>
        <w:rPr>
          <w:rFonts w:hint="eastAsia" w:ascii="仿宋" w:hAnsi="仿宋" w:eastAsia="仿宋_GB2312" w:cs="宋体"/>
          <w:bCs/>
          <w:color w:val="000000" w:themeColor="text1"/>
          <w:kern w:val="0"/>
          <w:sz w:val="32"/>
          <w:szCs w:val="32"/>
          <w14:textFill>
            <w14:solidFill>
              <w14:schemeClr w14:val="tx1"/>
            </w14:solidFill>
          </w14:textFill>
        </w:rPr>
        <w:t>郑州市质量技术监督检验测试中心等机构加强科技创新</w:t>
      </w:r>
      <w:r>
        <w:rPr>
          <w:rFonts w:ascii="仿宋" w:hAnsi="仿宋" w:eastAsia="仿宋_GB2312" w:cs="宋体"/>
          <w:bCs/>
          <w:color w:val="000000" w:themeColor="text1"/>
          <w:kern w:val="0"/>
          <w:sz w:val="32"/>
          <w:szCs w:val="32"/>
          <w14:textFill>
            <w14:solidFill>
              <w14:schemeClr w14:val="tx1"/>
            </w14:solidFill>
          </w14:textFill>
        </w:rPr>
        <w:t>，</w:t>
      </w:r>
      <w:r>
        <w:rPr>
          <w:rFonts w:hint="eastAsia" w:ascii="仿宋" w:hAnsi="仿宋" w:eastAsia="仿宋_GB2312" w:cs="宋体"/>
          <w:bCs/>
          <w:color w:val="000000" w:themeColor="text1"/>
          <w:kern w:val="0"/>
          <w:sz w:val="32"/>
          <w:szCs w:val="32"/>
          <w14:textFill>
            <w14:solidFill>
              <w14:schemeClr w14:val="tx1"/>
            </w14:solidFill>
          </w14:textFill>
        </w:rPr>
        <w:t>申请筹建</w:t>
      </w:r>
      <w:r>
        <w:rPr>
          <w:rFonts w:ascii="仿宋" w:hAnsi="仿宋" w:eastAsia="仿宋_GB2312" w:cs="宋体"/>
          <w:bCs/>
          <w:color w:val="000000" w:themeColor="text1"/>
          <w:kern w:val="0"/>
          <w:sz w:val="32"/>
          <w:szCs w:val="32"/>
          <w14:textFill>
            <w14:solidFill>
              <w14:schemeClr w14:val="tx1"/>
            </w14:solidFill>
          </w14:textFill>
        </w:rPr>
        <w:t>国家计量</w:t>
      </w:r>
      <w:r>
        <w:rPr>
          <w:rFonts w:hint="eastAsia" w:ascii="仿宋" w:hAnsi="仿宋" w:eastAsia="仿宋_GB2312" w:cs="宋体"/>
          <w:bCs/>
          <w:color w:val="000000" w:themeColor="text1"/>
          <w:kern w:val="0"/>
          <w:sz w:val="32"/>
          <w:szCs w:val="32"/>
          <w14:textFill>
            <w14:solidFill>
              <w14:schemeClr w14:val="tx1"/>
            </w14:solidFill>
          </w14:textFill>
        </w:rPr>
        <w:t>检测认证领域</w:t>
      </w:r>
      <w:r>
        <w:rPr>
          <w:rFonts w:ascii="仿宋" w:hAnsi="仿宋" w:eastAsia="仿宋_GB2312" w:cs="宋体"/>
          <w:bCs/>
          <w:color w:val="000000" w:themeColor="text1"/>
          <w:kern w:val="0"/>
          <w:sz w:val="32"/>
          <w:szCs w:val="32"/>
          <w14:textFill>
            <w14:solidFill>
              <w14:schemeClr w14:val="tx1"/>
            </w14:solidFill>
          </w14:textFill>
        </w:rPr>
        <w:t>实验室，聚集、培养高水平创新团队，建成综合性</w:t>
      </w:r>
      <w:r>
        <w:rPr>
          <w:rFonts w:hint="eastAsia" w:ascii="仿宋" w:hAnsi="仿宋" w:eastAsia="仿宋_GB2312" w:cs="宋体"/>
          <w:bCs/>
          <w:color w:val="000000" w:themeColor="text1"/>
          <w:kern w:val="0"/>
          <w:sz w:val="32"/>
          <w:szCs w:val="32"/>
          <w14:textFill>
            <w14:solidFill>
              <w14:schemeClr w14:val="tx1"/>
            </w14:solidFill>
          </w14:textFill>
        </w:rPr>
        <w:t>检验检测认证服务</w:t>
      </w:r>
      <w:r>
        <w:rPr>
          <w:rFonts w:ascii="仿宋" w:hAnsi="仿宋" w:eastAsia="仿宋_GB2312" w:cs="宋体"/>
          <w:bCs/>
          <w:color w:val="000000" w:themeColor="text1"/>
          <w:kern w:val="0"/>
          <w:sz w:val="32"/>
          <w:szCs w:val="32"/>
          <w14:textFill>
            <w14:solidFill>
              <w14:schemeClr w14:val="tx1"/>
            </w14:solidFill>
          </w14:textFill>
        </w:rPr>
        <w:t>研究机构，</w:t>
      </w:r>
      <w:r>
        <w:rPr>
          <w:rFonts w:hint="eastAsia" w:ascii="仿宋" w:hAnsi="仿宋" w:eastAsia="仿宋_GB2312" w:cs="宋体"/>
          <w:bCs/>
          <w:color w:val="000000" w:themeColor="text1"/>
          <w:kern w:val="0"/>
          <w:sz w:val="32"/>
          <w:szCs w:val="32"/>
          <w14:textFill>
            <w14:solidFill>
              <w14:schemeClr w14:val="tx1"/>
            </w14:solidFill>
          </w14:textFill>
        </w:rPr>
        <w:t>逐步开展信息化产品、智能化装备、环保检测、复合材料、节能产品认证、低碳认证等自愿性产品认证。推动建设综合性汽车试验场，满足新能源车</w:t>
      </w:r>
      <w:r>
        <w:rPr>
          <w:rFonts w:ascii="仿宋" w:hAnsi="仿宋" w:eastAsia="仿宋_GB2312" w:cs="宋体"/>
          <w:bCs/>
          <w:color w:val="000000" w:themeColor="text1"/>
          <w:kern w:val="0"/>
          <w:sz w:val="32"/>
          <w:szCs w:val="32"/>
          <w14:textFill>
            <w14:solidFill>
              <w14:schemeClr w14:val="tx1"/>
            </w14:solidFill>
          </w14:textFill>
        </w:rPr>
        <w:t>企对汽车新产品定型试验及强制性检验试验需求。</w:t>
      </w:r>
      <w:r>
        <w:rPr>
          <w:rFonts w:hint="eastAsia" w:ascii="仿宋" w:hAnsi="仿宋" w:eastAsia="仿宋_GB2312" w:cs="宋体"/>
          <w:bCs/>
          <w:color w:val="000000" w:themeColor="text1"/>
          <w:kern w:val="0"/>
          <w:sz w:val="32"/>
          <w:szCs w:val="32"/>
          <w14:textFill>
            <w14:solidFill>
              <w14:schemeClr w14:val="tx1"/>
            </w14:solidFill>
          </w14:textFill>
        </w:rPr>
        <w:t>加大政府购买服务力度，营造各类主体公平竞争的市场环境。支持民营检验检测认证机构发展，鼓励发展混合所有制检验检测认证机构，引导检验检测认证机构市场化、专业化、集聚化发展。</w:t>
      </w:r>
    </w:p>
    <w:p>
      <w:pPr>
        <w:snapToGrid w:val="0"/>
        <w:spacing w:line="360" w:lineRule="auto"/>
        <w:ind w:firstLine="640" w:firstLineChars="200"/>
        <w:rPr>
          <w:rFonts w:hint="eastAsia"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推动检验检测产业集约化发展。统筹各级质检中心建设，合理规划布局，弥补空白地带，突破薄弱环节。鼓励对检验检测机构进行跨区域、跨行业整合，推进以资产、人员、设备等资源为纽带，进行横向、纵向整合，建立门类齐全、服务高效、核心竞争力较强的综合检验检测机构，培育一批操作规范、技术能力强、服务水平高、规模效益好、具有一定国内国际影响力的检验检测集团。继续开展国家检验检测认证公共服务平台示范区创建工作，整合资源，多元服务，全力构建与新兴产业发展相适应的检验检测服务体系。吸引一批优质检验检测服务机构入驻郑州，为产业转型、质量提升提供坚实技术保障，提升整体质量形象和竞争力。鼓励组建产学研用一体化的检验检测认证联盟，积极推动检验检测服务平台与科研院所、行业协会、专业性服务机构协作和联合建设，实现仪器设备、高级人才、检验检测技术、业务拓展渠道、技术信息等资源的共享共用。</w:t>
      </w:r>
    </w:p>
    <w:p>
      <w:pPr>
        <w:pStyle w:val="2"/>
        <w:rPr>
          <w:rFonts w:hint="eastAsia"/>
        </w:rPr>
      </w:pPr>
    </w:p>
    <w:p>
      <w:pPr>
        <w:bidi w:val="0"/>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rFonts w:ascii="楷体" w:hAnsi="楷体" w:eastAsia="楷体"/>
                <w:kern w:val="0"/>
                <w:sz w:val="28"/>
                <w:szCs w:val="32"/>
              </w:rPr>
            </w:pPr>
            <w:r>
              <w:rPr>
                <w:rFonts w:hint="eastAsia" w:ascii="黑体" w:hAnsi="黑体" w:eastAsia="黑体" w:cs="黑体"/>
                <w:kern w:val="0"/>
                <w:sz w:val="28"/>
                <w:szCs w:val="28"/>
              </w:rPr>
              <w:t xml:space="preserve">专栏3  助推检验检测能力提升计划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522" w:type="dxa"/>
          </w:tcPr>
          <w:p>
            <w:pPr>
              <w:tabs>
                <w:tab w:val="left" w:pos="4725"/>
              </w:tabs>
              <w:adjustRightInd w:val="0"/>
              <w:snapToGrid w:val="0"/>
              <w:spacing w:line="560" w:lineRule="exact"/>
              <w:ind w:firstLine="641"/>
              <w:rPr>
                <w:rFonts w:ascii="仿宋" w:hAnsi="仿宋" w:eastAsia="仿宋_GB2312" w:cs="宋体"/>
                <w:bCs/>
                <w:color w:val="000000" w:themeColor="text1"/>
                <w:kern w:val="0"/>
                <w:sz w:val="28"/>
                <w:szCs w:val="28"/>
                <w14:textFill>
                  <w14:solidFill>
                    <w14:schemeClr w14:val="tx1"/>
                  </w14:solidFill>
                </w14:textFill>
              </w:rPr>
            </w:pPr>
            <w:r>
              <w:rPr>
                <w:rFonts w:hint="eastAsia" w:ascii="仿宋_GB2312" w:hAnsi="Times New Roman" w:eastAsia="仿宋_GB2312" w:cs="Times New Roman"/>
                <w:b/>
                <w:bCs/>
                <w:sz w:val="28"/>
                <w:szCs w:val="28"/>
              </w:rPr>
              <w:t>推进公共研发服务平台建设。</w:t>
            </w:r>
            <w:r>
              <w:rPr>
                <w:rFonts w:hint="eastAsia" w:ascii="仿宋" w:hAnsi="仿宋" w:eastAsia="仿宋_GB2312" w:cs="宋体"/>
                <w:bCs/>
                <w:color w:val="000000" w:themeColor="text1"/>
                <w:kern w:val="0"/>
                <w:sz w:val="28"/>
                <w:szCs w:val="28"/>
                <w14:textFill>
                  <w14:solidFill>
                    <w14:schemeClr w14:val="tx1"/>
                  </w14:solidFill>
                </w14:textFill>
              </w:rPr>
              <w:t>围绕郑州战略性新兴产业发展需求，支持筹建新的国家质检中心、省级质检中心，打造高水平检验检测高技术服务平台建设。加强公共服务平台基础设施建设，加快推进国家检验检测高技术服务业集聚区创建，加快国家质检中心郑州综合检测基地建设，完善提升郑州市高新技术开发区“国家检验检测认证公共服务平台示范区”功能，推进检验检测、质量认证等公共研发服务平台建设，健全产业创新公共服务体系。</w:t>
            </w:r>
          </w:p>
          <w:p>
            <w:pPr>
              <w:tabs>
                <w:tab w:val="left" w:pos="4725"/>
              </w:tabs>
              <w:adjustRightInd w:val="0"/>
              <w:snapToGrid w:val="0"/>
              <w:spacing w:line="560" w:lineRule="exact"/>
              <w:ind w:firstLine="641"/>
              <w:rPr>
                <w:rFonts w:ascii="仿宋" w:hAnsi="仿宋" w:eastAsia="仿宋_GB2312" w:cs="宋体"/>
                <w:bCs/>
                <w:color w:val="000000" w:themeColor="text1"/>
                <w:kern w:val="0"/>
                <w:sz w:val="28"/>
                <w:szCs w:val="28"/>
                <w14:textFill>
                  <w14:solidFill>
                    <w14:schemeClr w14:val="tx1"/>
                  </w14:solidFill>
                </w14:textFill>
              </w:rPr>
            </w:pPr>
            <w:r>
              <w:rPr>
                <w:rFonts w:ascii="仿宋_GB2312" w:hAnsi="Times New Roman" w:eastAsia="仿宋_GB2312" w:cs="Times New Roman"/>
                <w:b/>
                <w:sz w:val="28"/>
                <w:szCs w:val="28"/>
              </w:rPr>
              <w:t>创新</w:t>
            </w:r>
            <w:r>
              <w:rPr>
                <w:rFonts w:hint="eastAsia" w:ascii="仿宋" w:hAnsi="仿宋" w:eastAsia="仿宋_GB2312" w:cs="宋体"/>
                <w:b/>
                <w:bCs/>
                <w:color w:val="000000" w:themeColor="text1"/>
                <w:kern w:val="0"/>
                <w:sz w:val="28"/>
                <w:szCs w:val="28"/>
                <w14:textFill>
                  <w14:solidFill>
                    <w14:schemeClr w14:val="tx1"/>
                  </w14:solidFill>
                </w14:textFill>
              </w:rPr>
              <w:t>检验检测服务模式。</w:t>
            </w:r>
            <w:r>
              <w:rPr>
                <w:rFonts w:hint="eastAsia" w:ascii="仿宋" w:hAnsi="仿宋" w:eastAsia="仿宋_GB2312" w:cs="宋体"/>
                <w:bCs/>
                <w:color w:val="000000" w:themeColor="text1"/>
                <w:kern w:val="0"/>
                <w:sz w:val="28"/>
                <w:szCs w:val="28"/>
                <w14:textFill>
                  <w14:solidFill>
                    <w14:schemeClr w14:val="tx1"/>
                  </w14:solidFill>
                </w14:textFill>
              </w:rPr>
              <w:t>探索创新检验检测服务平台的建设与运作模式，实现自身可持续发展，树立权威性和公信力，形成检验检测知名品牌。加大技术创新研发、标准化体系建设、质量诚信体系建设、公共信息服务平台建设的投入力度，为检验检测行业健康平稳快速发展打下坚实基础。</w:t>
            </w:r>
          </w:p>
          <w:p>
            <w:pPr>
              <w:tabs>
                <w:tab w:val="left" w:pos="4725"/>
              </w:tabs>
              <w:adjustRightInd w:val="0"/>
              <w:snapToGrid w:val="0"/>
              <w:spacing w:line="560" w:lineRule="exact"/>
              <w:ind w:firstLine="641"/>
              <w:rPr>
                <w:rFonts w:ascii="仿宋" w:hAnsi="仿宋" w:eastAsia="仿宋_GB2312" w:cs="宋体"/>
                <w:bCs/>
                <w:color w:val="000000" w:themeColor="text1"/>
                <w:kern w:val="0"/>
                <w:sz w:val="28"/>
                <w:szCs w:val="32"/>
                <w14:textFill>
                  <w14:solidFill>
                    <w14:schemeClr w14:val="tx1"/>
                  </w14:solidFill>
                </w14:textFill>
              </w:rPr>
            </w:pPr>
            <w:r>
              <w:rPr>
                <w:rFonts w:hint="eastAsia" w:ascii="仿宋" w:hAnsi="仿宋" w:eastAsia="仿宋_GB2312" w:cs="宋体"/>
                <w:b/>
                <w:bCs/>
                <w:color w:val="000000" w:themeColor="text1"/>
                <w:kern w:val="0"/>
                <w:sz w:val="28"/>
                <w:szCs w:val="28"/>
                <w14:textFill>
                  <w14:solidFill>
                    <w14:schemeClr w14:val="tx1"/>
                  </w14:solidFill>
                </w14:textFill>
              </w:rPr>
              <w:t>拓展检验检测服务功能。</w:t>
            </w:r>
            <w:r>
              <w:rPr>
                <w:rFonts w:hint="eastAsia" w:ascii="仿宋" w:hAnsi="仿宋" w:eastAsia="仿宋_GB2312" w:cs="宋体"/>
                <w:bCs/>
                <w:color w:val="000000" w:themeColor="text1"/>
                <w:kern w:val="0"/>
                <w:sz w:val="28"/>
                <w:szCs w:val="28"/>
                <w14:textFill>
                  <w14:solidFill>
                    <w14:schemeClr w14:val="tx1"/>
                  </w14:solidFill>
                </w14:textFill>
              </w:rPr>
              <w:t>引导检验检测机构拓展服务领域，为企业产品研发、中试、定型过程中的试验、测试、分析、鉴定，提供分析测试服务、产品质量分析诊断和改进建议，形成以检验检测认证为“连接器”的产业聚合新模式，成为企业的产品试验基地。</w:t>
            </w:r>
          </w:p>
        </w:tc>
      </w:tr>
    </w:tbl>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积极推动高端认证。围绕乡村振兴、制造业升级、服务业提质等发展战略，对接新一代信息技术、高端装备制造、新材料、生物、新能源汽车、新能源、节能环保、数字创意等产业，组织制定一批代表郑州优势、体现品质质量、引领行业发展的产品、服务认证标准。加强国内外交流与合作，推动检测、认证等国际多边互认。推动国内外有影响的检验检测认证机构成立认证联盟，引入国际通行的第三方评价机制，按照政府推动、企业自愿、标准引领、市场运作的原则，对战略性新兴产业优质产品和服务开展高端认证，推动产品、服务品牌高端化。推动检验检测认证机构拓展对外业务，以中国（河南）自由贸易试验区、郑州航空港经济综合实验区及“一带一路”沿线国家、</w:t>
      </w:r>
      <w:r>
        <w:rPr>
          <w:rFonts w:ascii="仿宋" w:hAnsi="仿宋" w:eastAsia="仿宋_GB2312" w:cs="宋体"/>
          <w:bCs/>
          <w:color w:val="000000" w:themeColor="text1"/>
          <w:kern w:val="0"/>
          <w:sz w:val="32"/>
          <w:szCs w:val="32"/>
          <w14:textFill>
            <w14:solidFill>
              <w14:schemeClr w14:val="tx1"/>
            </w14:solidFill>
          </w14:textFill>
        </w:rPr>
        <w:t>黄河流域</w:t>
      </w:r>
      <w:r>
        <w:rPr>
          <w:rFonts w:hint="eastAsia" w:ascii="仿宋" w:hAnsi="仿宋" w:eastAsia="仿宋_GB2312" w:cs="宋体"/>
          <w:bCs/>
          <w:color w:val="000000" w:themeColor="text1"/>
          <w:kern w:val="0"/>
          <w:sz w:val="32"/>
          <w:szCs w:val="32"/>
          <w14:textFill>
            <w14:solidFill>
              <w14:schemeClr w14:val="tx1"/>
            </w14:solidFill>
          </w14:textFill>
        </w:rPr>
        <w:t>沿线地区为重点，加强“走出去”政策研究，在行政审批、认可服务、创新支持等方面为检验检测认证服务出口集中区域提供支持，推动检验检测认证服务“走出去”，为对外投融资、建设项目提供配套服务 。</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加强认证执法监管体系建设。推动检验检测认证监管大数据应用平台建设，分析获证企业、获证产品及认证活动的质量状况和动态情况。健全全过程追溯和责任追究机制，追溯检验检测活动和结果的合规性，压实机构主体责任。加强重点强制性认证产品执法检查和监督抽查。完善检验检测机构分类监管制度，引导建立诚信自我声明公开承诺制、年度工作报告制，强化事中事后监督，提升认证监管工作质量和水平，促进检验检测服务业有序健康发展。抓好行业分析，推动完善检验检测统计工作，及时向社会公开发布统计报告，为从业机构提供信息服务，引导检验检测行业高质量发展。</w:t>
      </w:r>
    </w:p>
    <w:p>
      <w:pPr>
        <w:pStyle w:val="3"/>
        <w:snapToGrid w:val="0"/>
        <w:spacing w:before="0" w:after="0" w:line="360" w:lineRule="auto"/>
        <w:ind w:firstLine="643" w:firstLineChars="200"/>
        <w:rPr>
          <w:rFonts w:ascii="仿宋_GB2312" w:hAnsi="仿宋_GB2312" w:eastAsia="仿宋_GB2312" w:cs="仿宋_GB2312"/>
          <w:color w:val="000000" w:themeColor="text1"/>
          <w14:textFill>
            <w14:solidFill>
              <w14:schemeClr w14:val="tx1"/>
            </w14:solidFill>
          </w14:textFill>
        </w:rPr>
      </w:pPr>
      <w:bookmarkStart w:id="44" w:name="_Toc4187"/>
      <w:r>
        <w:rPr>
          <w:rFonts w:hint="eastAsia" w:ascii="仿宋_GB2312" w:hAnsi="仿宋_GB2312" w:eastAsia="仿宋_GB2312" w:cs="仿宋_GB2312"/>
          <w:color w:val="000000" w:themeColor="text1"/>
          <w14:textFill>
            <w14:solidFill>
              <w14:schemeClr w14:val="tx1"/>
            </w14:solidFill>
          </w14:textFill>
        </w:rPr>
        <w:t>（五）协同推进标准化服务快速发展</w:t>
      </w:r>
      <w:bookmarkEnd w:id="44"/>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加快构建战略性新兴产业领域的郑州标准体系。推进产品研发和标准研究同步、产品生产与标准制定同步、检测与标准实施同步，培育以技术、品牌、质量、服务为核心的产业竞争新优势。针对重点产业、重点领域、重点产品开展标准研究和创制，建立先进技术标准体系，组织、引导行业龙头企业和科研机构积极参与国内外标准化活动，积极争取更多专业标准化技术委员会落户郑州，抢占行业制高点。围绕“一带一路”、国家中心城市现代化建设、黄河流域生态保护和高质量发展等战略实施，积极参与国际标准、区域标准和地方标准制定。优化完善推荐性标准，运用信息化手段，建立标准制修订全过程信息公开和共享平台。围绕郑洛新国家自主创新示范区建设，积极开展国家级、省级技术标准创新基地创建。围绕加快推进生态文明建设，加快制修订一批能耗、水耗、污染物排放限量和环境质量标准，实施能效和排污强度“领跑者”制度。</w:t>
      </w:r>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协同推进标准化体系建设，助推产业高质量发展。支持企业参与和主导国际标准、国家标准、行业标准的制订修订，促进技术创新、标准研制与产业化协调发展。积极组织实施制造业标准化提升计划，在</w:t>
      </w:r>
      <w:r>
        <w:rPr>
          <w:rFonts w:ascii="仿宋" w:hAnsi="仿宋" w:eastAsia="仿宋_GB2312" w:cs="宋体"/>
          <w:bCs/>
          <w:color w:val="000000" w:themeColor="text1"/>
          <w:kern w:val="0"/>
          <w:sz w:val="32"/>
          <w:szCs w:val="32"/>
          <w14:textFill>
            <w14:solidFill>
              <w14:schemeClr w14:val="tx1"/>
            </w14:solidFill>
          </w14:textFill>
        </w:rPr>
        <w:t>电子信息、新型材料、生物医药</w:t>
      </w:r>
      <w:r>
        <w:rPr>
          <w:rFonts w:hint="eastAsia" w:ascii="仿宋" w:hAnsi="仿宋" w:eastAsia="仿宋_GB2312" w:cs="宋体"/>
          <w:bCs/>
          <w:color w:val="000000" w:themeColor="text1"/>
          <w:kern w:val="0"/>
          <w:sz w:val="32"/>
          <w:szCs w:val="32"/>
          <w14:textFill>
            <w14:solidFill>
              <w14:schemeClr w14:val="tx1"/>
            </w14:solidFill>
          </w14:textFill>
        </w:rPr>
        <w:t>等重点领域围绕产业链制定成套技术标准，加速科技研发、标准制定和产业发展一体化进程。鼓励龙头骨干企业积极争创中国质量奖、省长质量奖，逐步成为制定国家标准的主体，将质量管理的成功经验和先进方法向产业链两端延伸推广，带动提升整体质量水平。鼓励龙头骨干企业制定企业联盟标准，引领新产品开发和品牌创建，带动中小企业实施技术改造升级和管理创新。培育发展团体标准，放开搞活企业标准，健全企业产品和服务标准自我声明公开和监督制度，落实企业标准化主体责任。鼓励标准化专业机构对企业公开的标准开展比对和评价。</w:t>
      </w:r>
    </w:p>
    <w:p>
      <w:pPr>
        <w:pStyle w:val="3"/>
        <w:snapToGrid w:val="0"/>
        <w:spacing w:before="0" w:after="0" w:line="360" w:lineRule="auto"/>
        <w:ind w:firstLine="643" w:firstLineChars="200"/>
        <w:rPr>
          <w:rFonts w:ascii="仿宋_GB2312" w:hAnsi="仿宋_GB2312" w:eastAsia="仿宋_GB2312" w:cs="仿宋_GB2312"/>
          <w:color w:val="000000" w:themeColor="text1"/>
          <w14:textFill>
            <w14:solidFill>
              <w14:schemeClr w14:val="tx1"/>
            </w14:solidFill>
          </w14:textFill>
        </w:rPr>
      </w:pPr>
      <w:bookmarkStart w:id="45" w:name="_Toc8011"/>
      <w:r>
        <w:rPr>
          <w:rFonts w:hint="eastAsia" w:ascii="仿宋_GB2312" w:hAnsi="仿宋_GB2312" w:eastAsia="仿宋_GB2312" w:cs="仿宋_GB2312"/>
          <w:color w:val="000000" w:themeColor="text1"/>
          <w14:textFill>
            <w14:solidFill>
              <w14:schemeClr w14:val="tx1"/>
            </w14:solidFill>
          </w14:textFill>
        </w:rPr>
        <w:t>（六）全面提升</w:t>
      </w:r>
      <w:r>
        <w:rPr>
          <w:rFonts w:hint="eastAsia" w:ascii="仿宋" w:hAnsi="仿宋" w:eastAsia="仿宋_GB2312" w:cs="宋体"/>
          <w:color w:val="000000" w:themeColor="text1"/>
          <w:kern w:val="0"/>
          <w14:textFill>
            <w14:solidFill>
              <w14:schemeClr w14:val="tx1"/>
            </w14:solidFill>
          </w14:textFill>
        </w:rPr>
        <w:t>航空运营服务水平</w:t>
      </w:r>
      <w:bookmarkEnd w:id="45"/>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不断完善航空运营支撑能力。大力推进空港型国家物流枢纽建设，着力建设百万吨国际货运航空枢纽，完善以货运为主的航空规划建设体系。加强现代物流基础设施建设，提高空侧资源利用效率，打造国际货运亚洲分拨中心，实现关内分拨、全球配送。用好第五航权，争取第七航权，大力发展航空物流，优化通航点布局，推动新开货运洲际航线，加密国际客货运航线航班，增加欧美等主要经济体直封直航邮路数量，形成覆盖全球的国际客货运航空网络。强化货运服务设施保障，优化口岸服务功能，增强在国内外物流体系中的集疏、分拨作用，建设便捷通达的国际物流网络体系。促进航空网、铁路网、公路网“三网”深度融合，建设内捷外畅、高效衔接、智慧创新的空港型国家物流枢纽。树立平台经济思维，积极搭建与高水平开放相适应的体系化、数字化功能平台和贸易平台，推进产业延伸，把枢纽优势转化为物流、贸易优势，不断完善枢纽经济的产业链、供应链、交易链、服务链。支持本地物流企业设立境外保税仓，加强服务模式创新，提高对外合作的一体化服务能力。加强与“一带一路”沿线国家在规则体系、通关模式等领域合作，持续推进跨境电商试点建设，促进跨境电商与战略性新兴产业融合发展，助推“郑州制造”更好更快走出国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522" w:type="dxa"/>
            <w:vAlign w:val="center"/>
          </w:tcPr>
          <w:p>
            <w:pPr>
              <w:snapToGrid w:val="0"/>
              <w:jc w:val="center"/>
              <w:rPr>
                <w:rFonts w:ascii="楷体" w:hAnsi="楷体" w:eastAsia="楷体" w:cs="宋体"/>
                <w:bCs/>
                <w:color w:val="000000" w:themeColor="text1"/>
                <w:kern w:val="0"/>
                <w:sz w:val="28"/>
                <w:szCs w:val="32"/>
                <w14:textFill>
                  <w14:solidFill>
                    <w14:schemeClr w14:val="tx1"/>
                  </w14:solidFill>
                </w14:textFill>
              </w:rPr>
            </w:pPr>
            <w:r>
              <w:rPr>
                <w:rFonts w:hint="eastAsia" w:ascii="黑体" w:hAnsi="黑体" w:eastAsia="黑体" w:cs="黑体"/>
                <w:kern w:val="0"/>
                <w:sz w:val="28"/>
                <w:szCs w:val="28"/>
              </w:rPr>
              <w:t xml:space="preserve">专栏4  加快推进航空物流创新发展计划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360" w:lineRule="auto"/>
              <w:ind w:firstLine="624"/>
              <w:rPr>
                <w:rFonts w:ascii="Times New Roman" w:hAnsi="Times New Roman" w:eastAsia="仿宋_GB2312" w:cs="Times New Roman"/>
                <w:color w:val="000000"/>
                <w:sz w:val="28"/>
                <w:szCs w:val="32"/>
              </w:rPr>
            </w:pPr>
            <w:r>
              <w:rPr>
                <w:rFonts w:hint="eastAsia" w:ascii="楷体_GB2312" w:hAnsi="楷体_GB2312" w:eastAsia="楷体_GB2312" w:cs="楷体_GB2312"/>
                <w:b/>
                <w:bCs/>
                <w:color w:val="000000"/>
                <w:sz w:val="28"/>
                <w:szCs w:val="32"/>
              </w:rPr>
              <w:t>加快打造国际物流贸易中心。</w:t>
            </w:r>
            <w:r>
              <w:rPr>
                <w:rFonts w:hint="eastAsia" w:ascii="Times New Roman" w:hAnsi="Times New Roman" w:eastAsia="仿宋_GB2312" w:cs="Times New Roman"/>
                <w:color w:val="000000"/>
                <w:sz w:val="28"/>
                <w:szCs w:val="32"/>
              </w:rPr>
              <w:t>探索以“空中丝绸之路”为核心的“四路协同”发展新模式，着力完善交易链、服务链、产业链，大力引进国内外“头部”航空、物流、货代、贸易企业，以贸易集聚带动流通扩量，强化国际物流节点，推动枢纽优势向物流优势、贸易优势、产业优势转化，打造立足中部、辐射全国、通达全球的国际物流贸易中心。</w:t>
            </w:r>
          </w:p>
          <w:p>
            <w:pPr>
              <w:snapToGrid w:val="0"/>
              <w:spacing w:line="360" w:lineRule="auto"/>
              <w:ind w:firstLine="624"/>
              <w:rPr>
                <w:rFonts w:ascii="Times New Roman" w:hAnsi="Times New Roman" w:eastAsia="仿宋_GB2312" w:cs="Times New Roman"/>
                <w:color w:val="000000"/>
                <w:sz w:val="28"/>
                <w:szCs w:val="32"/>
              </w:rPr>
            </w:pPr>
            <w:r>
              <w:rPr>
                <w:rFonts w:hint="eastAsia" w:ascii="楷体_GB2312" w:hAnsi="楷体_GB2312" w:eastAsia="楷体_GB2312" w:cs="楷体_GB2312"/>
                <w:b/>
                <w:bCs/>
                <w:color w:val="000000"/>
                <w:sz w:val="28"/>
                <w:szCs w:val="32"/>
              </w:rPr>
              <w:t>推进“</w:t>
            </w:r>
            <w:r>
              <w:rPr>
                <w:rFonts w:ascii="楷体_GB2312" w:hAnsi="楷体_GB2312" w:eastAsia="楷体_GB2312" w:cs="楷体_GB2312"/>
                <w:b/>
                <w:bCs/>
                <w:color w:val="000000"/>
                <w:sz w:val="28"/>
                <w:szCs w:val="32"/>
              </w:rPr>
              <w:t>空中丝绸之路</w:t>
            </w:r>
            <w:r>
              <w:rPr>
                <w:rFonts w:hint="eastAsia" w:ascii="楷体_GB2312" w:hAnsi="楷体_GB2312" w:eastAsia="楷体_GB2312" w:cs="楷体_GB2312"/>
                <w:b/>
                <w:bCs/>
                <w:color w:val="000000"/>
                <w:sz w:val="28"/>
                <w:szCs w:val="32"/>
              </w:rPr>
              <w:t>”扩量提质。</w:t>
            </w:r>
            <w:r>
              <w:rPr>
                <w:rFonts w:ascii="Times New Roman" w:hAnsi="Times New Roman" w:eastAsia="仿宋_GB2312" w:cs="Times New Roman"/>
                <w:color w:val="000000"/>
                <w:sz w:val="28"/>
                <w:szCs w:val="32"/>
              </w:rPr>
              <w:t>深化</w:t>
            </w:r>
            <w:r>
              <w:rPr>
                <w:rFonts w:hint="eastAsia" w:ascii="Times New Roman" w:hAnsi="Times New Roman" w:eastAsia="仿宋_GB2312" w:cs="Times New Roman"/>
                <w:color w:val="000000"/>
                <w:sz w:val="28"/>
                <w:szCs w:val="32"/>
              </w:rPr>
              <w:t>“</w:t>
            </w:r>
            <w:r>
              <w:rPr>
                <w:rFonts w:ascii="Times New Roman" w:hAnsi="Times New Roman" w:eastAsia="仿宋_GB2312" w:cs="Times New Roman"/>
                <w:color w:val="000000"/>
                <w:sz w:val="28"/>
                <w:szCs w:val="32"/>
              </w:rPr>
              <w:t>郑州</w:t>
            </w:r>
            <w:r>
              <w:rPr>
                <w:rFonts w:hint="eastAsia" w:ascii="Times New Roman" w:hAnsi="Times New Roman" w:eastAsia="仿宋_GB2312" w:cs="Times New Roman"/>
                <w:color w:val="000000"/>
                <w:sz w:val="28"/>
                <w:szCs w:val="32"/>
              </w:rPr>
              <w:t>—</w:t>
            </w:r>
            <w:r>
              <w:rPr>
                <w:rFonts w:ascii="Times New Roman" w:hAnsi="Times New Roman" w:eastAsia="仿宋_GB2312" w:cs="Times New Roman"/>
                <w:color w:val="000000"/>
                <w:sz w:val="28"/>
                <w:szCs w:val="32"/>
              </w:rPr>
              <w:t>卢森堡</w:t>
            </w:r>
            <w:r>
              <w:rPr>
                <w:rFonts w:hint="eastAsia" w:ascii="Times New Roman" w:hAnsi="Times New Roman" w:eastAsia="仿宋_GB2312" w:cs="Times New Roman"/>
                <w:color w:val="000000"/>
                <w:sz w:val="28"/>
                <w:szCs w:val="32"/>
              </w:rPr>
              <w:t>”</w:t>
            </w:r>
            <w:r>
              <w:rPr>
                <w:rFonts w:ascii="Times New Roman" w:hAnsi="Times New Roman" w:eastAsia="仿宋_GB2312" w:cs="Times New Roman"/>
                <w:color w:val="000000"/>
                <w:sz w:val="28"/>
                <w:szCs w:val="32"/>
              </w:rPr>
              <w:t>双枢纽战略合作，建设郑州</w:t>
            </w:r>
            <w:r>
              <w:rPr>
                <w:rFonts w:hint="eastAsia" w:ascii="Times New Roman" w:hAnsi="Times New Roman" w:eastAsia="仿宋_GB2312" w:cs="Times New Roman"/>
                <w:color w:val="000000"/>
                <w:sz w:val="28"/>
                <w:szCs w:val="32"/>
              </w:rPr>
              <w:t>“</w:t>
            </w:r>
            <w:r>
              <w:rPr>
                <w:rFonts w:ascii="Times New Roman" w:hAnsi="Times New Roman" w:eastAsia="仿宋_GB2312" w:cs="Times New Roman"/>
                <w:color w:val="000000"/>
                <w:sz w:val="28"/>
                <w:szCs w:val="32"/>
              </w:rPr>
              <w:t>空中丝绸之路</w:t>
            </w:r>
            <w:r>
              <w:rPr>
                <w:rFonts w:hint="eastAsia" w:ascii="Times New Roman" w:hAnsi="Times New Roman" w:eastAsia="仿宋_GB2312" w:cs="Times New Roman"/>
                <w:color w:val="000000"/>
                <w:sz w:val="28"/>
                <w:szCs w:val="32"/>
              </w:rPr>
              <w:t>”开放</w:t>
            </w:r>
            <w:r>
              <w:rPr>
                <w:rFonts w:ascii="Times New Roman" w:hAnsi="Times New Roman" w:eastAsia="仿宋_GB2312" w:cs="Times New Roman"/>
                <w:color w:val="000000"/>
                <w:sz w:val="28"/>
                <w:szCs w:val="32"/>
              </w:rPr>
              <w:t>试验区</w:t>
            </w:r>
            <w:r>
              <w:rPr>
                <w:rFonts w:hint="eastAsia" w:ascii="Times New Roman" w:hAnsi="Times New Roman" w:eastAsia="仿宋_GB2312" w:cs="Times New Roman"/>
                <w:color w:val="000000"/>
                <w:sz w:val="28"/>
                <w:szCs w:val="32"/>
              </w:rPr>
              <w:t>，强化空港型国家物流枢纽功能，构建连接全球主要经济体的空中经济廊道。推动</w:t>
            </w:r>
            <w:r>
              <w:rPr>
                <w:rFonts w:ascii="Times New Roman" w:hAnsi="Times New Roman" w:eastAsia="仿宋_GB2312" w:cs="Times New Roman"/>
                <w:color w:val="000000"/>
                <w:sz w:val="28"/>
                <w:szCs w:val="32"/>
              </w:rPr>
              <w:t>网上丝路创新突破</w:t>
            </w:r>
            <w:r>
              <w:rPr>
                <w:rFonts w:hint="eastAsia" w:ascii="Times New Roman" w:hAnsi="Times New Roman" w:eastAsia="仿宋_GB2312" w:cs="Times New Roman"/>
                <w:color w:val="000000"/>
                <w:sz w:val="28"/>
                <w:szCs w:val="32"/>
              </w:rPr>
              <w:t>，深入推进跨境电商综合试验区建设，发挥口岸优势，完善政策体系，拓展进出口渠道，突出医药、美妆等特色产品，打造内陆地区国际网购消费中心。</w:t>
            </w:r>
          </w:p>
          <w:p>
            <w:pPr>
              <w:snapToGrid w:val="0"/>
              <w:spacing w:line="360" w:lineRule="auto"/>
              <w:ind w:firstLine="624"/>
              <w:rPr>
                <w:color w:val="000000"/>
                <w:sz w:val="28"/>
                <w:szCs w:val="32"/>
              </w:rPr>
            </w:pPr>
            <w:r>
              <w:rPr>
                <w:rFonts w:hint="eastAsia" w:ascii="楷体_GB2312" w:hAnsi="楷体_GB2312" w:eastAsia="楷体_GB2312" w:cs="楷体_GB2312"/>
                <w:b/>
                <w:bCs/>
                <w:color w:val="000000"/>
                <w:sz w:val="28"/>
                <w:szCs w:val="32"/>
              </w:rPr>
              <w:t>创新多式联运运营模式。</w:t>
            </w:r>
            <w:r>
              <w:rPr>
                <w:rFonts w:hint="eastAsia" w:ascii="Times New Roman" w:hAnsi="Times New Roman" w:eastAsia="仿宋_GB2312" w:cs="Times New Roman"/>
                <w:color w:val="000000"/>
                <w:sz w:val="28"/>
                <w:szCs w:val="32"/>
              </w:rPr>
              <w:t>坚持航空引领、数字化引领，努力打通整合各类运输方式数据资源，形成“一单到底、高效衔接、多方联动”多式联运体系，强化设施联通、信息共享、服务联动，构建内外融合互通的全球物流网络体系。加强规则体系、通关模式等创新合作，</w:t>
            </w:r>
            <w:r>
              <w:rPr>
                <w:rFonts w:ascii="Times New Roman" w:hAnsi="Times New Roman" w:eastAsia="仿宋_GB2312" w:cs="Times New Roman"/>
                <w:color w:val="000000"/>
                <w:sz w:val="28"/>
                <w:szCs w:val="32"/>
              </w:rPr>
              <w:t>拓展</w:t>
            </w:r>
            <w:r>
              <w:rPr>
                <w:rFonts w:hint="eastAsia" w:ascii="Times New Roman" w:hAnsi="Times New Roman" w:eastAsia="仿宋_GB2312" w:cs="Times New Roman"/>
                <w:color w:val="000000"/>
                <w:sz w:val="28"/>
                <w:szCs w:val="32"/>
              </w:rPr>
              <w:t>“</w:t>
            </w:r>
            <w:r>
              <w:rPr>
                <w:rFonts w:ascii="Times New Roman" w:hAnsi="Times New Roman" w:eastAsia="仿宋_GB2312" w:cs="Times New Roman"/>
                <w:color w:val="000000"/>
                <w:sz w:val="28"/>
                <w:szCs w:val="32"/>
              </w:rPr>
              <w:t>跨境电商+空港+陆港+</w:t>
            </w:r>
            <w:r>
              <w:rPr>
                <w:rFonts w:hint="eastAsia" w:ascii="Times New Roman" w:hAnsi="Times New Roman" w:eastAsia="仿宋_GB2312" w:cs="Times New Roman"/>
                <w:color w:val="000000"/>
                <w:sz w:val="28"/>
                <w:szCs w:val="32"/>
              </w:rPr>
              <w:t>快递”</w:t>
            </w:r>
            <w:r>
              <w:rPr>
                <w:rFonts w:ascii="Times New Roman" w:hAnsi="Times New Roman" w:eastAsia="仿宋_GB2312" w:cs="Times New Roman"/>
                <w:color w:val="000000"/>
                <w:sz w:val="28"/>
                <w:szCs w:val="32"/>
              </w:rPr>
              <w:t>运营模式</w:t>
            </w:r>
            <w:r>
              <w:rPr>
                <w:rFonts w:hint="eastAsia" w:ascii="Times New Roman" w:hAnsi="Times New Roman" w:eastAsia="仿宋_GB2312" w:cs="Times New Roman"/>
                <w:color w:val="000000"/>
                <w:sz w:val="28"/>
                <w:szCs w:val="32"/>
              </w:rPr>
              <w:t>，打造充满活力的跨境电商产业链和生态圈。</w:t>
            </w:r>
          </w:p>
        </w:tc>
      </w:tr>
    </w:tbl>
    <w:p>
      <w:pPr>
        <w:snapToGrid w:val="0"/>
        <w:spacing w:line="360" w:lineRule="auto"/>
        <w:ind w:firstLine="640" w:firstLineChars="200"/>
        <w:jc w:val="left"/>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加快航空物流企业转型升级。积极引进大型现代化航空物流企业，培育本土龙头航空物流企业，加强与头部企业联动，打造郑州物流品牌，建设一批功能完善、辐射带动强的物流园区，促进物流产业结构优化和升级。</w:t>
      </w:r>
      <w:r>
        <w:rPr>
          <w:rFonts w:ascii="仿宋" w:hAnsi="仿宋" w:eastAsia="仿宋_GB2312" w:cs="宋体"/>
          <w:bCs/>
          <w:color w:val="000000" w:themeColor="text1"/>
          <w:kern w:val="0"/>
          <w:sz w:val="32"/>
          <w:szCs w:val="32"/>
          <w14:textFill>
            <w14:solidFill>
              <w14:schemeClr w14:val="tx1"/>
            </w14:solidFill>
          </w14:textFill>
        </w:rPr>
        <w:t>创造统一开放、竞争有序的航空物流市场环境，加速由单一航空货运向运输、仓储、装卸、加工、包装、配送、信息处理等综合一体化服务的物流转型。鼓励货运航空公司与铁路、公路、水运和物流企业开展各种形式的合作，</w:t>
      </w:r>
      <w:r>
        <w:rPr>
          <w:rFonts w:hint="eastAsia" w:ascii="仿宋" w:hAnsi="仿宋" w:eastAsia="仿宋_GB2312" w:cs="宋体"/>
          <w:bCs/>
          <w:color w:val="000000" w:themeColor="text1"/>
          <w:kern w:val="0"/>
          <w:sz w:val="32"/>
          <w:szCs w:val="32"/>
          <w14:textFill>
            <w14:solidFill>
              <w14:schemeClr w14:val="tx1"/>
            </w14:solidFill>
          </w14:textFill>
        </w:rPr>
        <w:t>逐步完善多式联运体系，探索发展“一单制”为核心的多式联运体系，切实降低物流成本、提高运输效率。重点推进“空中丝绸之路”空陆联运和铁公空国家多式联运示范工程项目建设。支持航空物流企业引入供应链管理思想，创新发展供应链新理念、新技术、新模式，不断整合集成内外部优质资源，进行体制机制和商业模式创新，向价值链两端拓展和延伸。</w:t>
      </w:r>
    </w:p>
    <w:p>
      <w:pPr>
        <w:pStyle w:val="2"/>
        <w:keepNext w:val="0"/>
        <w:snapToGrid w:val="0"/>
        <w:spacing w:before="0" w:after="0" w:line="360" w:lineRule="auto"/>
        <w:ind w:firstLine="640" w:firstLineChars="200"/>
        <w:rPr>
          <w:rFonts w:ascii="黑体" w:hAnsi="黑体" w:eastAsia="黑体"/>
          <w:b w:val="0"/>
          <w:color w:val="000000" w:themeColor="text1"/>
          <w:sz w:val="32"/>
          <w:szCs w:val="32"/>
          <w14:textFill>
            <w14:solidFill>
              <w14:schemeClr w14:val="tx1"/>
            </w14:solidFill>
          </w14:textFill>
        </w:rPr>
      </w:pPr>
      <w:bookmarkStart w:id="46" w:name="_Toc28325"/>
      <w:r>
        <w:rPr>
          <w:rFonts w:hint="eastAsia" w:ascii="黑体" w:hAnsi="黑体" w:eastAsia="黑体"/>
          <w:b w:val="0"/>
          <w:color w:val="000000" w:themeColor="text1"/>
          <w:sz w:val="32"/>
          <w:szCs w:val="32"/>
          <w14:textFill>
            <w14:solidFill>
              <w14:schemeClr w14:val="tx1"/>
            </w14:solidFill>
          </w14:textFill>
        </w:rPr>
        <w:t>四、重点工程</w:t>
      </w:r>
      <w:bookmarkEnd w:id="46"/>
    </w:p>
    <w:p>
      <w:pPr>
        <w:pStyle w:val="3"/>
        <w:snapToGrid w:val="0"/>
        <w:spacing w:before="0" w:after="0" w:line="360" w:lineRule="auto"/>
        <w:ind w:firstLine="643" w:firstLineChars="200"/>
        <w:rPr>
          <w:rFonts w:ascii="仿宋_GB2312" w:hAnsi="仿宋_GB2312" w:eastAsia="仿宋_GB2312" w:cs="仿宋_GB2312"/>
          <w:color w:val="000000" w:themeColor="text1"/>
          <w14:textFill>
            <w14:solidFill>
              <w14:schemeClr w14:val="tx1"/>
            </w14:solidFill>
          </w14:textFill>
        </w:rPr>
      </w:pPr>
      <w:bookmarkStart w:id="47" w:name="_Toc15364"/>
      <w:r>
        <w:rPr>
          <w:rFonts w:hint="eastAsia" w:ascii="仿宋_GB2312" w:hAnsi="仿宋_GB2312" w:eastAsia="仿宋_GB2312" w:cs="仿宋_GB2312"/>
          <w:color w:val="000000" w:themeColor="text1"/>
          <w14:textFill>
            <w14:solidFill>
              <w14:schemeClr w14:val="tx1"/>
            </w14:solidFill>
          </w14:textFill>
        </w:rPr>
        <w:t>（一）大力实施双创提升工程，推动专业化规模化发展</w:t>
      </w:r>
      <w:bookmarkEnd w:id="47"/>
    </w:p>
    <w:p>
      <w:pPr>
        <w:snapToGrid w:val="0"/>
        <w:spacing w:line="360" w:lineRule="auto"/>
        <w:ind w:firstLine="643" w:firstLineChars="200"/>
        <w:jc w:val="lef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打造专业化双创服务载体。</w:t>
      </w:r>
      <w:r>
        <w:rPr>
          <w:rFonts w:hint="eastAsia" w:ascii="仿宋_GB2312" w:hAnsi="Times New Roman" w:eastAsia="仿宋_GB2312" w:cs="Times New Roman"/>
          <w:sz w:val="32"/>
          <w:szCs w:val="32"/>
        </w:rPr>
        <w:t>支持河南省网络信息专业化众创空间、河南省智能终端专业化众创空间等省级专业化众创空间争创国家级专业化众创空间。鼓励行业龙头骨干企业、高校院所及新型研发机构等多元创新主体，聚焦高端装备制造、新材料、北斗等细分产业领域，</w:t>
      </w:r>
      <w:r>
        <w:rPr>
          <w:rFonts w:ascii="仿宋_GB2312" w:hAnsi="Times New Roman" w:eastAsia="仿宋_GB2312" w:cs="Times New Roman"/>
          <w:sz w:val="32"/>
          <w:szCs w:val="32"/>
        </w:rPr>
        <w:t>搭建主体协同、行业导向、服务精准的专业化众创空间，探索建立</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产业基金+专业技术平台</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的定向孵化模式，提供专业化创新创业服务</w:t>
      </w:r>
      <w:r>
        <w:rPr>
          <w:rFonts w:hint="eastAsia" w:ascii="仿宋_GB2312" w:hAnsi="Times New Roman" w:eastAsia="仿宋_GB2312" w:cs="Times New Roman"/>
          <w:sz w:val="32"/>
          <w:szCs w:val="32"/>
        </w:rPr>
        <w:t>。</w:t>
      </w:r>
    </w:p>
    <w:p>
      <w:pPr>
        <w:snapToGrid w:val="0"/>
        <w:spacing w:line="360" w:lineRule="auto"/>
        <w:ind w:firstLine="643" w:firstLineChars="200"/>
        <w:jc w:val="left"/>
        <w:rPr>
          <w:rFonts w:ascii="仿宋_GB2312" w:eastAsia="仿宋_GB2312"/>
          <w:sz w:val="32"/>
          <w:szCs w:val="32"/>
        </w:rPr>
      </w:pPr>
      <w:r>
        <w:rPr>
          <w:rFonts w:hint="eastAsia" w:ascii="仿宋_GB2312" w:hAnsi="Times New Roman" w:eastAsia="仿宋_GB2312" w:cs="Times New Roman"/>
          <w:b/>
          <w:bCs/>
          <w:sz w:val="32"/>
          <w:szCs w:val="32"/>
        </w:rPr>
        <w:t>完善健全双创服务体系。</w:t>
      </w:r>
      <w:r>
        <w:rPr>
          <w:rFonts w:hint="eastAsia" w:ascii="仿宋_GB2312" w:hAnsi="Times New Roman" w:eastAsia="仿宋_GB2312" w:cs="Times New Roman"/>
          <w:sz w:val="32"/>
          <w:szCs w:val="32"/>
        </w:rPr>
        <w:t>围绕创新链布局服务链，聚焦电子信息、新能源汽车、生物医药、新材料等领域，大力发展研发设计、检验检测、专利</w:t>
      </w:r>
      <w:r>
        <w:rPr>
          <w:rFonts w:hint="eastAsia" w:ascii="仿宋" w:hAnsi="仿宋" w:eastAsia="仿宋_GB2312" w:cs="宋体"/>
          <w:bCs/>
          <w:color w:val="000000" w:themeColor="text1"/>
          <w:kern w:val="0"/>
          <w:sz w:val="32"/>
          <w:szCs w:val="32"/>
          <w14:textFill>
            <w14:solidFill>
              <w14:schemeClr w14:val="tx1"/>
            </w14:solidFill>
          </w14:textFill>
        </w:rPr>
        <w:t>导航</w:t>
      </w:r>
      <w:r>
        <w:rPr>
          <w:rFonts w:hint="eastAsia" w:ascii="仿宋_GB2312" w:hAnsi="Times New Roman" w:eastAsia="仿宋_GB2312" w:cs="Times New Roman"/>
          <w:sz w:val="32"/>
          <w:szCs w:val="32"/>
        </w:rPr>
        <w:t>等专业科技服务，提升科技创新和产业发展的支撑能力；加快发展会计、审计、法律、战略咨询等综合科技服务，提升企业的经营管理水平；探索发展融合交叉的科技服务新业态新模式，推动科技大数据与知识服务、科技云服务等落地</w:t>
      </w:r>
      <w:r>
        <w:rPr>
          <w:rFonts w:hint="eastAsia" w:ascii="仿宋_GB2312" w:eastAsia="仿宋_GB2312"/>
          <w:sz w:val="32"/>
          <w:szCs w:val="32"/>
        </w:rPr>
        <w:t>。不断扩大科技服务资源供给，在标准、计量等领域，引导非民营科技服务机构下设市场化分支机构，开展企业化运作，推动高水平科技服务资源向社会开放。</w:t>
      </w:r>
    </w:p>
    <w:p>
      <w:pPr>
        <w:snapToGrid w:val="0"/>
        <w:spacing w:line="360" w:lineRule="auto"/>
        <w:ind w:firstLine="643" w:firstLineChars="200"/>
        <w:jc w:val="left"/>
        <w:rPr>
          <w:sz w:val="32"/>
          <w:szCs w:val="32"/>
        </w:rPr>
      </w:pPr>
      <w:r>
        <w:rPr>
          <w:rFonts w:hint="eastAsia" w:ascii="仿宋_GB2312" w:hAnsi="Times New Roman" w:eastAsia="仿宋_GB2312" w:cs="Times New Roman"/>
          <w:b/>
          <w:bCs/>
          <w:sz w:val="32"/>
          <w:szCs w:val="32"/>
        </w:rPr>
        <w:t>着力提升双创服务能力。</w:t>
      </w:r>
      <w:r>
        <w:rPr>
          <w:rFonts w:ascii="仿宋_GB2312" w:eastAsia="仿宋_GB2312"/>
          <w:sz w:val="32"/>
          <w:szCs w:val="32"/>
        </w:rPr>
        <w:t>推动</w:t>
      </w:r>
      <w:r>
        <w:rPr>
          <w:rFonts w:hint="eastAsia" w:ascii="仿宋_GB2312" w:eastAsia="仿宋_GB2312"/>
          <w:sz w:val="32"/>
          <w:szCs w:val="32"/>
        </w:rPr>
        <w:t>生产力促进中心、创业服务中心等</w:t>
      </w:r>
      <w:r>
        <w:rPr>
          <w:rFonts w:ascii="仿宋_GB2312" w:eastAsia="仿宋_GB2312"/>
          <w:sz w:val="32"/>
          <w:szCs w:val="32"/>
        </w:rPr>
        <w:t>公益类科技</w:t>
      </w:r>
      <w:r>
        <w:rPr>
          <w:rFonts w:hint="eastAsia" w:ascii="仿宋_GB2312" w:eastAsia="仿宋_GB2312"/>
          <w:sz w:val="32"/>
          <w:szCs w:val="32"/>
        </w:rPr>
        <w:t>服务</w:t>
      </w:r>
      <w:r>
        <w:rPr>
          <w:rFonts w:ascii="仿宋_GB2312" w:eastAsia="仿宋_GB2312"/>
          <w:sz w:val="32"/>
          <w:szCs w:val="32"/>
        </w:rPr>
        <w:t>机构创新发展</w:t>
      </w:r>
      <w:r>
        <w:rPr>
          <w:rFonts w:hint="eastAsia" w:ascii="仿宋_GB2312" w:eastAsia="仿宋_GB2312"/>
          <w:sz w:val="32"/>
          <w:szCs w:val="32"/>
        </w:rPr>
        <w:t>，不断提升机构业务能力和服务水平，在确保公益性服务的基础上，深化公益类科技服务机构改革，建立市场化的绩效考核和分配激励机制，完善市场化服务机制。积极培育引进一批专业能力强、服务水平高、规模效益好的科技服务机构，支持国内外知名科技服务机构来郑设立分支机构，</w:t>
      </w:r>
      <w:r>
        <w:rPr>
          <w:rFonts w:hint="eastAsia" w:ascii="仿宋_GB2312" w:hAnsi="Times New Roman" w:eastAsia="仿宋_GB2312" w:cs="Times New Roman"/>
          <w:sz w:val="32"/>
          <w:szCs w:val="32"/>
        </w:rPr>
        <w:t>推动科技服务规模化、集群化发展，支持高新区打造检验检测集聚区，中原区打造科技服务产业集聚区。</w:t>
      </w:r>
    </w:p>
    <w:p>
      <w:pPr>
        <w:pStyle w:val="3"/>
        <w:snapToGrid w:val="0"/>
        <w:spacing w:before="0" w:after="0" w:line="360" w:lineRule="auto"/>
        <w:ind w:firstLine="643" w:firstLineChars="200"/>
        <w:rPr>
          <w:rFonts w:ascii="仿宋_GB2312" w:hAnsi="仿宋_GB2312" w:eastAsia="仿宋_GB2312" w:cs="仿宋_GB2312"/>
          <w:color w:val="000000" w:themeColor="text1"/>
          <w14:textFill>
            <w14:solidFill>
              <w14:schemeClr w14:val="tx1"/>
            </w14:solidFill>
          </w14:textFill>
        </w:rPr>
      </w:pPr>
      <w:bookmarkStart w:id="48" w:name="_Toc20941"/>
      <w:r>
        <w:rPr>
          <w:rFonts w:hint="eastAsia" w:ascii="仿宋_GB2312" w:hAnsi="仿宋_GB2312" w:eastAsia="仿宋_GB2312" w:cs="仿宋_GB2312"/>
          <w:color w:val="000000" w:themeColor="text1"/>
          <w14:textFill>
            <w14:solidFill>
              <w14:schemeClr w14:val="tx1"/>
            </w14:solidFill>
          </w14:textFill>
        </w:rPr>
        <w:t>（二）扎实推进科技金融工程，着力增强产业创新活力</w:t>
      </w:r>
      <w:bookmarkEnd w:id="48"/>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
          <w:bCs/>
          <w:color w:val="000000" w:themeColor="text1"/>
          <w:kern w:val="0"/>
          <w:sz w:val="32"/>
          <w:szCs w:val="32"/>
          <w14:textFill>
            <w14:solidFill>
              <w14:schemeClr w14:val="tx1"/>
            </w14:solidFill>
          </w14:textFill>
        </w:rPr>
        <w:t>开展科技金融产品和服务创新</w:t>
      </w:r>
      <w:r>
        <w:rPr>
          <w:rFonts w:hint="eastAsia" w:ascii="仿宋" w:hAnsi="仿宋" w:eastAsia="仿宋_GB2312" w:cs="宋体"/>
          <w:bCs/>
          <w:color w:val="000000" w:themeColor="text1"/>
          <w:kern w:val="0"/>
          <w:sz w:val="32"/>
          <w:szCs w:val="32"/>
          <w14:textFill>
            <w14:solidFill>
              <w14:schemeClr w14:val="tx1"/>
            </w14:solidFill>
          </w14:textFill>
        </w:rPr>
        <w:t>。</w:t>
      </w:r>
      <w:r>
        <w:rPr>
          <w:rFonts w:ascii="仿宋" w:hAnsi="仿宋" w:eastAsia="仿宋_GB2312" w:cs="宋体"/>
          <w:bCs/>
          <w:color w:val="000000" w:themeColor="text1"/>
          <w:kern w:val="0"/>
          <w:sz w:val="32"/>
          <w:szCs w:val="32"/>
          <w14:textFill>
            <w14:solidFill>
              <w14:schemeClr w14:val="tx1"/>
            </w14:solidFill>
          </w14:textFill>
        </w:rPr>
        <w:t>加快推进投融资平台的创新发展，着力推动各类政府投资公司的整合，增强投融资功能，实现可持续发展。协同金融机构用好信贷、债券、股权三大融资渠道，确保社会融资规模稳定增长。</w:t>
      </w:r>
      <w:r>
        <w:rPr>
          <w:rFonts w:hint="eastAsia" w:ascii="仿宋" w:hAnsi="仿宋" w:eastAsia="仿宋_GB2312" w:cs="宋体"/>
          <w:bCs/>
          <w:color w:val="000000" w:themeColor="text1"/>
          <w:kern w:val="0"/>
          <w:sz w:val="32"/>
          <w:szCs w:val="32"/>
          <w14:textFill>
            <w14:solidFill>
              <w14:schemeClr w14:val="tx1"/>
            </w14:solidFill>
          </w14:textFill>
        </w:rPr>
        <w:t>支持孵化载体、各类创业投资机构设立天使投资基金，撬动社会资本参与创新平台建设、重大科技成果转化、高精尖产业孵化、独角兽企业培育。引导政策性担保机构开展专项担保业务。</w:t>
      </w:r>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
          <w:bCs/>
          <w:color w:val="000000" w:themeColor="text1"/>
          <w:kern w:val="0"/>
          <w:sz w:val="32"/>
          <w:szCs w:val="32"/>
          <w14:textFill>
            <w14:solidFill>
              <w14:schemeClr w14:val="tx1"/>
            </w14:solidFill>
          </w14:textFill>
        </w:rPr>
        <w:t>大力发展金融科技。</w:t>
      </w:r>
      <w:r>
        <w:rPr>
          <w:rFonts w:hint="eastAsia" w:ascii="仿宋" w:hAnsi="仿宋" w:eastAsia="仿宋_GB2312" w:cs="宋体"/>
          <w:bCs/>
          <w:color w:val="000000" w:themeColor="text1"/>
          <w:kern w:val="0"/>
          <w:sz w:val="32"/>
          <w:szCs w:val="32"/>
          <w14:textFill>
            <w14:solidFill>
              <w14:schemeClr w14:val="tx1"/>
            </w14:solidFill>
          </w14:textFill>
        </w:rPr>
        <w:t>推动大数据、人工智能、区块链技术在金融服务中的创新应用。建设基于大数据的金融信用和风险防控体系，实施“互联网+”普惠金融行动，大力发展以“首投”、“首贷”、“首保”为重点的多渠道科技投融资体系。</w:t>
      </w:r>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
          <w:bCs/>
          <w:color w:val="000000" w:themeColor="text1"/>
          <w:kern w:val="0"/>
          <w:sz w:val="32"/>
          <w:szCs w:val="32"/>
          <w14:textFill>
            <w14:solidFill>
              <w14:schemeClr w14:val="tx1"/>
            </w14:solidFill>
          </w14:textFill>
        </w:rPr>
        <w:t>大力发展新兴金融</w:t>
      </w:r>
      <w:r>
        <w:rPr>
          <w:rFonts w:hint="eastAsia" w:ascii="仿宋" w:hAnsi="仿宋" w:eastAsia="仿宋_GB2312" w:cs="宋体"/>
          <w:bCs/>
          <w:color w:val="000000" w:themeColor="text1"/>
          <w:kern w:val="0"/>
          <w:sz w:val="32"/>
          <w:szCs w:val="32"/>
          <w14:textFill>
            <w14:solidFill>
              <w14:schemeClr w14:val="tx1"/>
            </w14:solidFill>
          </w14:textFill>
        </w:rPr>
        <w:t>。探索设立投贷联动试点，探索投贷联动、投保联动等新模式。积极发挥知识产权质押贷款、信用保险保单质押贷款等在战略性新兴产业领域的融资作用。</w:t>
      </w:r>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
          <w:bCs/>
          <w:color w:val="000000" w:themeColor="text1"/>
          <w:kern w:val="0"/>
          <w:sz w:val="32"/>
          <w:szCs w:val="32"/>
          <w14:textFill>
            <w14:solidFill>
              <w14:schemeClr w14:val="tx1"/>
            </w14:solidFill>
          </w14:textFill>
        </w:rPr>
        <w:t>大力发展供应链金融。</w:t>
      </w:r>
      <w:r>
        <w:rPr>
          <w:rFonts w:hint="eastAsia" w:ascii="仿宋" w:hAnsi="仿宋" w:eastAsia="仿宋_GB2312" w:cs="宋体"/>
          <w:bCs/>
          <w:color w:val="000000" w:themeColor="text1"/>
          <w:kern w:val="0"/>
          <w:sz w:val="32"/>
          <w:szCs w:val="32"/>
          <w14:textFill>
            <w14:solidFill>
              <w14:schemeClr w14:val="tx1"/>
            </w14:solidFill>
          </w14:textFill>
        </w:rPr>
        <w:t>围绕供应链核心企业与上下游企业的货物流、资金流等信息，积极发挥供应链金融对于产业链条的稳链、强链作用，为产业链的上下游企业高质量发展提供有力金融支持。</w:t>
      </w:r>
    </w:p>
    <w:p>
      <w:pPr>
        <w:pStyle w:val="3"/>
        <w:snapToGrid w:val="0"/>
        <w:spacing w:before="0" w:after="0" w:line="360" w:lineRule="auto"/>
        <w:ind w:firstLine="643" w:firstLineChars="200"/>
        <w:rPr>
          <w:rFonts w:ascii="仿宋_GB2312" w:hAnsi="仿宋_GB2312" w:eastAsia="仿宋_GB2312" w:cs="仿宋_GB2312"/>
          <w:color w:val="000000" w:themeColor="text1"/>
          <w14:textFill>
            <w14:solidFill>
              <w14:schemeClr w14:val="tx1"/>
            </w14:solidFill>
          </w14:textFill>
        </w:rPr>
      </w:pPr>
      <w:bookmarkStart w:id="49" w:name="_Toc17970"/>
      <w:r>
        <w:rPr>
          <w:rFonts w:hint="eastAsia" w:ascii="仿宋_GB2312" w:hAnsi="仿宋_GB2312" w:eastAsia="仿宋_GB2312" w:cs="仿宋_GB2312"/>
          <w:color w:val="000000" w:themeColor="text1"/>
          <w14:textFill>
            <w14:solidFill>
              <w14:schemeClr w14:val="tx1"/>
            </w14:solidFill>
          </w14:textFill>
        </w:rPr>
        <w:t>（三）精心组织人才引育工程，助推产业高质量发展</w:t>
      </w:r>
      <w:bookmarkEnd w:id="49"/>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
          <w:bCs/>
          <w:color w:val="000000" w:themeColor="text1"/>
          <w:kern w:val="0"/>
          <w:sz w:val="32"/>
          <w:szCs w:val="32"/>
          <w14:textFill>
            <w14:solidFill>
              <w14:schemeClr w14:val="tx1"/>
            </w14:solidFill>
          </w14:textFill>
        </w:rPr>
        <w:t>大力引进创新人才。</w:t>
      </w:r>
      <w:r>
        <w:rPr>
          <w:rFonts w:hint="eastAsia" w:ascii="仿宋" w:hAnsi="仿宋" w:eastAsia="仿宋_GB2312" w:cs="宋体"/>
          <w:bCs/>
          <w:color w:val="000000" w:themeColor="text1"/>
          <w:kern w:val="0"/>
          <w:sz w:val="32"/>
          <w:szCs w:val="32"/>
          <w14:textFill>
            <w14:solidFill>
              <w14:schemeClr w14:val="tx1"/>
            </w14:solidFill>
          </w14:textFill>
        </w:rPr>
        <w:t>升级“智汇郑州·</w:t>
      </w:r>
      <w:r>
        <w:rPr>
          <w:rFonts w:ascii="仿宋" w:hAnsi="仿宋" w:eastAsia="仿宋_GB2312" w:cs="宋体"/>
          <w:bCs/>
          <w:color w:val="000000" w:themeColor="text1"/>
          <w:kern w:val="0"/>
          <w:sz w:val="32"/>
          <w:szCs w:val="32"/>
          <w14:textFill>
            <w14:solidFill>
              <w14:schemeClr w14:val="tx1"/>
            </w14:solidFill>
          </w14:textFill>
        </w:rPr>
        <w:t>1125聚才计划</w:t>
      </w:r>
      <w:r>
        <w:rPr>
          <w:rFonts w:hint="eastAsia" w:ascii="仿宋" w:hAnsi="仿宋" w:eastAsia="仿宋_GB2312" w:cs="宋体"/>
          <w:bCs/>
          <w:color w:val="000000" w:themeColor="text1"/>
          <w:kern w:val="0"/>
          <w:sz w:val="32"/>
          <w:szCs w:val="32"/>
          <w14:textFill>
            <w14:solidFill>
              <w14:schemeClr w14:val="tx1"/>
            </w14:solidFill>
          </w14:textFill>
        </w:rPr>
        <w:t>”，实施“郑州英才计划”“黄河人才计划”</w:t>
      </w:r>
      <w:r>
        <w:rPr>
          <w:rFonts w:ascii="仿宋" w:hAnsi="仿宋" w:eastAsia="仿宋_GB2312" w:cs="宋体"/>
          <w:bCs/>
          <w:color w:val="000000" w:themeColor="text1"/>
          <w:kern w:val="0"/>
          <w:sz w:val="32"/>
          <w:szCs w:val="32"/>
          <w14:textFill>
            <w14:solidFill>
              <w14:schemeClr w14:val="tx1"/>
            </w14:solidFill>
          </w14:textFill>
        </w:rPr>
        <w:t>等人才政策</w:t>
      </w:r>
      <w:r>
        <w:rPr>
          <w:rFonts w:hint="eastAsia" w:ascii="仿宋" w:hAnsi="仿宋" w:eastAsia="仿宋_GB2312" w:cs="宋体"/>
          <w:bCs/>
          <w:color w:val="000000" w:themeColor="text1"/>
          <w:kern w:val="0"/>
          <w:sz w:val="32"/>
          <w:szCs w:val="32"/>
          <w14:textFill>
            <w14:solidFill>
              <w14:schemeClr w14:val="tx1"/>
            </w14:solidFill>
          </w14:textFill>
        </w:rPr>
        <w:t>，推行“人才</w:t>
      </w:r>
      <w:r>
        <w:rPr>
          <w:rFonts w:ascii="仿宋" w:hAnsi="仿宋" w:eastAsia="仿宋_GB2312" w:cs="宋体"/>
          <w:bCs/>
          <w:color w:val="000000" w:themeColor="text1"/>
          <w:kern w:val="0"/>
          <w:sz w:val="32"/>
          <w:szCs w:val="32"/>
          <w14:textFill>
            <w14:solidFill>
              <w14:schemeClr w14:val="tx1"/>
            </w14:solidFill>
          </w14:textFill>
        </w:rPr>
        <w:t>+</w:t>
      </w:r>
      <w:r>
        <w:rPr>
          <w:rFonts w:hint="eastAsia" w:ascii="仿宋" w:hAnsi="仿宋" w:eastAsia="仿宋_GB2312" w:cs="宋体"/>
          <w:bCs/>
          <w:color w:val="000000" w:themeColor="text1"/>
          <w:kern w:val="0"/>
          <w:sz w:val="32"/>
          <w:szCs w:val="32"/>
          <w14:textFill>
            <w14:solidFill>
              <w14:schemeClr w14:val="tx1"/>
            </w14:solidFill>
          </w14:textFill>
        </w:rPr>
        <w:t>资本+</w:t>
      </w:r>
      <w:r>
        <w:rPr>
          <w:rFonts w:ascii="仿宋" w:hAnsi="仿宋" w:eastAsia="仿宋_GB2312" w:cs="宋体"/>
          <w:bCs/>
          <w:color w:val="000000" w:themeColor="text1"/>
          <w:kern w:val="0"/>
          <w:sz w:val="32"/>
          <w:szCs w:val="32"/>
          <w14:textFill>
            <w14:solidFill>
              <w14:schemeClr w14:val="tx1"/>
            </w14:solidFill>
          </w14:textFill>
        </w:rPr>
        <w:t>项目</w:t>
      </w:r>
      <w:r>
        <w:rPr>
          <w:rFonts w:hint="eastAsia" w:ascii="仿宋" w:hAnsi="仿宋" w:eastAsia="仿宋_GB2312" w:cs="宋体"/>
          <w:bCs/>
          <w:color w:val="000000" w:themeColor="text1"/>
          <w:kern w:val="0"/>
          <w:sz w:val="32"/>
          <w:szCs w:val="32"/>
          <w14:textFill>
            <w14:solidFill>
              <w14:schemeClr w14:val="tx1"/>
            </w14:solidFill>
          </w14:textFill>
        </w:rPr>
        <w:t>”</w:t>
      </w:r>
      <w:r>
        <w:rPr>
          <w:rFonts w:ascii="仿宋" w:hAnsi="仿宋" w:eastAsia="仿宋_GB2312" w:cs="宋体"/>
          <w:bCs/>
          <w:color w:val="000000" w:themeColor="text1"/>
          <w:kern w:val="0"/>
          <w:sz w:val="32"/>
          <w:szCs w:val="32"/>
          <w14:textFill>
            <w14:solidFill>
              <w14:schemeClr w14:val="tx1"/>
            </w14:solidFill>
          </w14:textFill>
        </w:rPr>
        <w:t>的引才模式</w:t>
      </w:r>
      <w:r>
        <w:rPr>
          <w:rFonts w:hint="eastAsia" w:ascii="仿宋" w:hAnsi="仿宋" w:eastAsia="仿宋_GB2312" w:cs="宋体"/>
          <w:bCs/>
          <w:color w:val="000000" w:themeColor="text1"/>
          <w:kern w:val="0"/>
          <w:sz w:val="32"/>
          <w:szCs w:val="32"/>
          <w14:textFill>
            <w14:solidFill>
              <w14:schemeClr w14:val="tx1"/>
            </w14:solidFill>
          </w14:textFill>
        </w:rPr>
        <w:t>，在更深层次、更广领域集聚创新人才及创新团队，大力引进一批掌握核心技术资源、具有较强创新创业能力的领军人才和高层次紧缺人才。运用大数据技术绘制高层次人才分布地图，掌握行业领域创新动态和人才信息，助推人才项目精准对接。充分发挥企业的主体作用、人才的核心作用，以人才为核心集聚创新要素，打造创新联合体。</w:t>
      </w:r>
      <w:r>
        <w:rPr>
          <w:rFonts w:ascii="仿宋" w:hAnsi="仿宋" w:eastAsia="仿宋_GB2312" w:cs="宋体"/>
          <w:bCs/>
          <w:color w:val="000000" w:themeColor="text1"/>
          <w:kern w:val="0"/>
          <w:sz w:val="32"/>
          <w:szCs w:val="32"/>
          <w14:textFill>
            <w14:solidFill>
              <w14:schemeClr w14:val="tx1"/>
            </w14:solidFill>
          </w14:textFill>
        </w:rPr>
        <w:t>发挥</w:t>
      </w:r>
      <w:r>
        <w:rPr>
          <w:rFonts w:hint="eastAsia" w:ascii="仿宋" w:hAnsi="仿宋" w:eastAsia="仿宋_GB2312" w:cs="宋体"/>
          <w:bCs/>
          <w:color w:val="000000" w:themeColor="text1"/>
          <w:kern w:val="0"/>
          <w:sz w:val="32"/>
          <w:szCs w:val="32"/>
          <w14:textFill>
            <w14:solidFill>
              <w14:schemeClr w14:val="tx1"/>
            </w14:solidFill>
          </w14:textFill>
        </w:rPr>
        <w:t>高层次人才</w:t>
      </w:r>
      <w:r>
        <w:rPr>
          <w:rFonts w:ascii="仿宋" w:hAnsi="仿宋" w:eastAsia="仿宋_GB2312" w:cs="宋体"/>
          <w:bCs/>
          <w:color w:val="000000" w:themeColor="text1"/>
          <w:kern w:val="0"/>
          <w:sz w:val="32"/>
          <w:szCs w:val="32"/>
          <w14:textFill>
            <w14:solidFill>
              <w14:schemeClr w14:val="tx1"/>
            </w14:solidFill>
          </w14:textFill>
        </w:rPr>
        <w:t>领军作用，鼓励按照“科研团队+龙头企业+产业基金”模式，组建若干重大产业创新联合体，带动产业链上下游企业创新发展。</w:t>
      </w:r>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
          <w:bCs/>
          <w:color w:val="000000" w:themeColor="text1"/>
          <w:kern w:val="0"/>
          <w:sz w:val="32"/>
          <w:szCs w:val="32"/>
          <w14:textFill>
            <w14:solidFill>
              <w14:schemeClr w14:val="tx1"/>
            </w14:solidFill>
          </w14:textFill>
        </w:rPr>
        <w:t>创新人才培养模式。</w:t>
      </w:r>
      <w:r>
        <w:rPr>
          <w:rFonts w:hint="eastAsia" w:ascii="仿宋" w:hAnsi="仿宋" w:eastAsia="仿宋_GB2312" w:cs="宋体"/>
          <w:bCs/>
          <w:color w:val="000000" w:themeColor="text1"/>
          <w:kern w:val="0"/>
          <w:sz w:val="32"/>
          <w:szCs w:val="32"/>
          <w14:textFill>
            <w14:solidFill>
              <w14:schemeClr w14:val="tx1"/>
            </w14:solidFill>
          </w14:textFill>
        </w:rPr>
        <w:t>加快战略性新兴产业相关服务业人才培养，全面提高从业人员服务技能和水平。支持产教融合、校企合作，建立相关服务业人才培训基地，积极引导驻郑高校加强与相关服务业发展相适应的学科专业建设，鼓励与外地高校、优秀企业加强校企校地合作，加大知识产权、检测认证、创新创业、现代金融、航空物流等高端专业人才培养力度，扩大专业技能人才规模。开展新兴产业领域人才培训，培养一批</w:t>
      </w:r>
      <w:r>
        <w:rPr>
          <w:rFonts w:ascii="仿宋" w:hAnsi="仿宋" w:eastAsia="仿宋_GB2312" w:cs="宋体"/>
          <w:bCs/>
          <w:color w:val="000000" w:themeColor="text1"/>
          <w:kern w:val="0"/>
          <w:sz w:val="32"/>
          <w:szCs w:val="32"/>
          <w14:textFill>
            <w14:solidFill>
              <w14:schemeClr w14:val="tx1"/>
            </w14:solidFill>
          </w14:textFill>
        </w:rPr>
        <w:t>5G网络安装与维护工程师、AI和机器人操作管理工程师、通过VR进行远程监控和诊断的设备工程师等</w:t>
      </w:r>
      <w:r>
        <w:rPr>
          <w:rFonts w:hint="eastAsia" w:ascii="仿宋" w:hAnsi="仿宋" w:eastAsia="仿宋_GB2312" w:cs="宋体"/>
          <w:bCs/>
          <w:color w:val="000000" w:themeColor="text1"/>
          <w:kern w:val="0"/>
          <w:sz w:val="32"/>
          <w:szCs w:val="32"/>
          <w14:textFill>
            <w14:solidFill>
              <w14:schemeClr w14:val="tx1"/>
            </w14:solidFill>
          </w14:textFill>
        </w:rPr>
        <w:t>新职业、新技能人才。</w:t>
      </w:r>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
          <w:bCs/>
          <w:color w:val="000000" w:themeColor="text1"/>
          <w:kern w:val="0"/>
          <w:sz w:val="32"/>
          <w:szCs w:val="32"/>
          <w14:textFill>
            <w14:solidFill>
              <w14:schemeClr w14:val="tx1"/>
            </w14:solidFill>
          </w14:textFill>
        </w:rPr>
        <w:t>健全引才政策机制。</w:t>
      </w:r>
      <w:r>
        <w:rPr>
          <w:rFonts w:hint="eastAsia" w:ascii="仿宋" w:hAnsi="仿宋" w:eastAsia="仿宋_GB2312" w:cs="宋体"/>
          <w:bCs/>
          <w:color w:val="000000" w:themeColor="text1"/>
          <w:kern w:val="0"/>
          <w:sz w:val="32"/>
          <w:szCs w:val="32"/>
          <w14:textFill>
            <w14:solidFill>
              <w14:schemeClr w14:val="tx1"/>
            </w14:solidFill>
          </w14:textFill>
        </w:rPr>
        <w:t>针对重点引进的产业人才，从个税返还、创业扶持、住房优惠、专项基金奖励等方面制定和落实人才政策。依托中原科技城吸引</w:t>
      </w:r>
      <w:r>
        <w:rPr>
          <w:rFonts w:ascii="仿宋" w:hAnsi="仿宋" w:eastAsia="仿宋_GB2312" w:cs="宋体"/>
          <w:bCs/>
          <w:color w:val="000000" w:themeColor="text1"/>
          <w:kern w:val="0"/>
          <w:sz w:val="32"/>
          <w:szCs w:val="32"/>
          <w14:textFill>
            <w14:solidFill>
              <w14:schemeClr w14:val="tx1"/>
            </w14:solidFill>
          </w14:textFill>
        </w:rPr>
        <w:t>高端</w:t>
      </w:r>
      <w:r>
        <w:rPr>
          <w:rFonts w:hint="eastAsia" w:ascii="仿宋" w:hAnsi="仿宋" w:eastAsia="仿宋_GB2312" w:cs="宋体"/>
          <w:bCs/>
          <w:color w:val="000000" w:themeColor="text1"/>
          <w:kern w:val="0"/>
          <w:sz w:val="32"/>
          <w:szCs w:val="32"/>
          <w14:textFill>
            <w14:solidFill>
              <w14:schemeClr w14:val="tx1"/>
            </w14:solidFill>
          </w14:textFill>
        </w:rPr>
        <w:t>人才，强化柔性引才机制，形成引来人才、留住人才、用好人才的机制。</w:t>
      </w:r>
      <w:bookmarkStart w:id="50" w:name="_Toc469991576"/>
      <w:r>
        <w:rPr>
          <w:rFonts w:hint="eastAsia" w:ascii="仿宋" w:hAnsi="仿宋" w:eastAsia="仿宋_GB2312" w:cs="宋体"/>
          <w:bCs/>
          <w:color w:val="000000" w:themeColor="text1"/>
          <w:kern w:val="0"/>
          <w:sz w:val="32"/>
          <w:szCs w:val="32"/>
          <w14:textFill>
            <w14:solidFill>
              <w14:schemeClr w14:val="tx1"/>
            </w14:solidFill>
          </w14:textFill>
        </w:rPr>
        <w:t>完善医疗、养老等配套政策，对</w:t>
      </w:r>
      <w:r>
        <w:rPr>
          <w:rFonts w:hint="eastAsia" w:ascii="仿宋" w:hAnsi="仿宋" w:eastAsia="仿宋_GB2312" w:cs="宋体"/>
          <w:bCs/>
          <w:color w:val="000000" w:themeColor="text1"/>
          <w:kern w:val="0"/>
          <w:sz w:val="32"/>
          <w:szCs w:val="32"/>
          <w:lang w:eastAsia="zh-CN"/>
          <w14:textFill>
            <w14:solidFill>
              <w14:schemeClr w14:val="tx1"/>
            </w14:solidFill>
          </w14:textFill>
        </w:rPr>
        <w:t>作出</w:t>
      </w:r>
      <w:r>
        <w:rPr>
          <w:rFonts w:hint="eastAsia" w:ascii="仿宋" w:hAnsi="仿宋" w:eastAsia="仿宋_GB2312" w:cs="宋体"/>
          <w:bCs/>
          <w:color w:val="000000" w:themeColor="text1"/>
          <w:kern w:val="0"/>
          <w:sz w:val="32"/>
          <w:szCs w:val="32"/>
          <w14:textFill>
            <w14:solidFill>
              <w14:schemeClr w14:val="tx1"/>
            </w14:solidFill>
          </w14:textFill>
        </w:rPr>
        <w:t>突出贡献的从业人员，鼓励服务机构和企业实施期权、分红、技术入股、派送股权等多种形式的激励措施。把引进人才团队摆在与引进项目同等重要的位置，加快形成便准化、规范化、公开透明可预期的人才服务体系。</w:t>
      </w:r>
    </w:p>
    <w:bookmarkEnd w:id="50"/>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
          <w:bCs/>
          <w:color w:val="000000" w:themeColor="text1"/>
          <w:kern w:val="0"/>
          <w:sz w:val="32"/>
          <w:szCs w:val="32"/>
          <w14:textFill>
            <w14:solidFill>
              <w14:schemeClr w14:val="tx1"/>
            </w14:solidFill>
          </w14:textFill>
        </w:rPr>
        <w:t>完善人才发展通道。</w:t>
      </w:r>
      <w:r>
        <w:rPr>
          <w:rFonts w:hint="eastAsia" w:ascii="仿宋" w:hAnsi="仿宋" w:eastAsia="仿宋_GB2312" w:cs="宋体"/>
          <w:bCs/>
          <w:color w:val="000000" w:themeColor="text1"/>
          <w:kern w:val="0"/>
          <w:sz w:val="32"/>
          <w:szCs w:val="32"/>
          <w14:textFill>
            <w14:solidFill>
              <w14:schemeClr w14:val="tx1"/>
            </w14:solidFill>
          </w14:textFill>
        </w:rPr>
        <w:t>创新人才评价方式，联合大企业、行业联盟等行业创新主体，采取说课讲课、面试答辩、专家评议、实践操作、材料评审等多种形式，建立以同行专家评审为基础的人才业内评价机制。设立“黄河人才奖”，对实现重大科研突破、重要科技成果转化、重点产业培育</w:t>
      </w:r>
      <w:r>
        <w:rPr>
          <w:rFonts w:hint="eastAsia" w:ascii="仿宋" w:hAnsi="仿宋" w:eastAsia="仿宋_GB2312" w:cs="宋体"/>
          <w:bCs/>
          <w:color w:val="000000" w:themeColor="text1"/>
          <w:kern w:val="0"/>
          <w:sz w:val="32"/>
          <w:szCs w:val="32"/>
          <w:lang w:eastAsia="zh-CN"/>
          <w14:textFill>
            <w14:solidFill>
              <w14:schemeClr w14:val="tx1"/>
            </w14:solidFill>
          </w14:textFill>
        </w:rPr>
        <w:t>做出</w:t>
      </w:r>
      <w:r>
        <w:rPr>
          <w:rFonts w:hint="eastAsia" w:ascii="仿宋" w:hAnsi="仿宋" w:eastAsia="仿宋_GB2312" w:cs="宋体"/>
          <w:bCs/>
          <w:color w:val="000000" w:themeColor="text1"/>
          <w:kern w:val="0"/>
          <w:sz w:val="32"/>
          <w:szCs w:val="32"/>
          <w14:textFill>
            <w14:solidFill>
              <w14:schemeClr w14:val="tx1"/>
            </w14:solidFill>
          </w14:textFill>
        </w:rPr>
        <w:t>卓越贡献的人才给予奖励。完善职业技能鉴定和职称评定制度，畅通职业技能人才成长路径，推动相关服务业从业人员职业化、专业化发展。畅通非公专业技术人员参加职称评审的通道，设立非公组织专业技术人员职称申报点，提供职称政策宣传、申报条件诊断、职称申报辅导、评审材料报送等一站式服务。</w:t>
      </w:r>
    </w:p>
    <w:p>
      <w:pPr>
        <w:pStyle w:val="3"/>
        <w:snapToGrid w:val="0"/>
        <w:spacing w:before="0" w:after="0" w:line="360" w:lineRule="auto"/>
        <w:ind w:firstLine="643" w:firstLineChars="200"/>
        <w:rPr>
          <w:rFonts w:ascii="仿宋" w:hAnsi="仿宋" w:eastAsia="仿宋_GB2312" w:cs="宋体"/>
          <w:bCs w:val="0"/>
          <w:color w:val="000000" w:themeColor="text1"/>
          <w:kern w:val="0"/>
          <w14:textFill>
            <w14:solidFill>
              <w14:schemeClr w14:val="tx1"/>
            </w14:solidFill>
          </w14:textFill>
        </w:rPr>
      </w:pPr>
      <w:bookmarkStart w:id="51" w:name="_Toc77092451"/>
      <w:bookmarkStart w:id="52" w:name="_Toc31089"/>
      <w:r>
        <w:rPr>
          <w:rFonts w:hint="eastAsia" w:ascii="仿宋_GB2312" w:hAnsi="仿宋_GB2312" w:eastAsia="仿宋_GB2312" w:cs="仿宋_GB2312"/>
          <w:color w:val="000000" w:themeColor="text1"/>
          <w14:textFill>
            <w14:solidFill>
              <w14:schemeClr w14:val="tx1"/>
            </w14:solidFill>
          </w14:textFill>
        </w:rPr>
        <w:t>（四）</w:t>
      </w:r>
      <w:bookmarkEnd w:id="51"/>
      <w:r>
        <w:rPr>
          <w:rFonts w:hint="eastAsia" w:ascii="仿宋_GB2312" w:hAnsi="仿宋_GB2312" w:eastAsia="仿宋_GB2312" w:cs="仿宋_GB2312"/>
          <w:color w:val="000000" w:themeColor="text1"/>
          <w14:textFill>
            <w14:solidFill>
              <w14:schemeClr w14:val="tx1"/>
            </w14:solidFill>
          </w14:textFill>
        </w:rPr>
        <w:t>着力推动</w:t>
      </w:r>
      <w:r>
        <w:rPr>
          <w:rFonts w:hint="eastAsia" w:ascii="仿宋" w:hAnsi="仿宋" w:eastAsia="仿宋_GB2312" w:cs="宋体"/>
          <w:bCs w:val="0"/>
          <w:color w:val="000000" w:themeColor="text1"/>
          <w:kern w:val="0"/>
          <w14:textFill>
            <w14:solidFill>
              <w14:schemeClr w14:val="tx1"/>
            </w14:solidFill>
          </w14:textFill>
        </w:rPr>
        <w:t>创新引领工程，加快形成产业发展新动能</w:t>
      </w:r>
      <w:bookmarkEnd w:id="52"/>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
          <w:bCs/>
          <w:color w:val="000000" w:themeColor="text1"/>
          <w:kern w:val="0"/>
          <w:sz w:val="32"/>
          <w:szCs w:val="32"/>
          <w14:textFill>
            <w14:solidFill>
              <w14:schemeClr w14:val="tx1"/>
            </w14:solidFill>
          </w14:textFill>
        </w:rPr>
        <w:t>着力提升产业创新能力。</w:t>
      </w:r>
      <w:r>
        <w:rPr>
          <w:rFonts w:hint="eastAsia" w:ascii="仿宋" w:hAnsi="仿宋" w:eastAsia="仿宋_GB2312" w:cs="宋体"/>
          <w:bCs/>
          <w:color w:val="000000" w:themeColor="text1"/>
          <w:kern w:val="0"/>
          <w:sz w:val="32"/>
          <w:szCs w:val="32"/>
          <w14:textFill>
            <w14:solidFill>
              <w14:schemeClr w14:val="tx1"/>
            </w14:solidFill>
          </w14:textFill>
        </w:rPr>
        <w:t>围绕战略性新兴产业发展需求，编制科技创新平台服务目录，创新体制机制，促进产业链、供应链、创新链、要素链、制度链深度耦合。加强与知名科研院所合作，建设一批产业技术研究院、工程（技术）研究中心、重点实验室、企业技术中心等。大力推进创新平台提升创新能力，加强前沿性产业技术研发，争取升格一批国家级创新平台，形成区域辐射能力，打造高水平创新创业基地，加快提升产业创新能力。支持跨界创新、融合创新，推动技术创新和商业模式创新相结合，推进“互联网+制造”和“互联网+服务”跨界发展，强化产业链核心环节，推动产业向前后两端更高附加值环节延伸。</w:t>
      </w:r>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
          <w:bCs/>
          <w:color w:val="000000" w:themeColor="text1"/>
          <w:kern w:val="0"/>
          <w:sz w:val="32"/>
          <w:szCs w:val="32"/>
          <w14:textFill>
            <w14:solidFill>
              <w14:schemeClr w14:val="tx1"/>
            </w14:solidFill>
          </w14:textFill>
        </w:rPr>
        <w:t>加强场景创新应用开放。</w:t>
      </w:r>
      <w:r>
        <w:rPr>
          <w:rFonts w:ascii="仿宋" w:hAnsi="仿宋" w:eastAsia="仿宋_GB2312" w:cs="宋体"/>
          <w:bCs/>
          <w:color w:val="000000" w:themeColor="text1"/>
          <w:kern w:val="0"/>
          <w:sz w:val="32"/>
          <w:szCs w:val="32"/>
          <w14:textFill>
            <w14:solidFill>
              <w14:schemeClr w14:val="tx1"/>
            </w14:solidFill>
          </w14:textFill>
        </w:rPr>
        <w:t>加强对应用场景新技术产品的梳理和挖掘</w:t>
      </w:r>
      <w:r>
        <w:rPr>
          <w:rFonts w:hint="eastAsia" w:ascii="仿宋" w:hAnsi="仿宋" w:eastAsia="仿宋_GB2312" w:cs="宋体"/>
          <w:bCs/>
          <w:color w:val="000000" w:themeColor="text1"/>
          <w:kern w:val="0"/>
          <w:sz w:val="32"/>
          <w:szCs w:val="32"/>
          <w14:textFill>
            <w14:solidFill>
              <w14:schemeClr w14:val="tx1"/>
            </w14:solidFill>
          </w14:textFill>
        </w:rPr>
        <w:t>，支持企业独立或联合组建创新应用实验室、场景应用实验室，推动大数据、区块链、人工智能在金融、科技、检验、航空运营等领域开展应用场景试点示范。</w:t>
      </w:r>
      <w:r>
        <w:rPr>
          <w:rFonts w:ascii="仿宋" w:hAnsi="仿宋" w:eastAsia="仿宋_GB2312" w:cs="宋体"/>
          <w:bCs/>
          <w:color w:val="000000" w:themeColor="text1"/>
          <w:kern w:val="0"/>
          <w:sz w:val="32"/>
          <w:szCs w:val="32"/>
          <w14:textFill>
            <w14:solidFill>
              <w14:schemeClr w14:val="tx1"/>
            </w14:solidFill>
          </w14:textFill>
        </w:rPr>
        <w:t>围绕</w:t>
      </w:r>
      <w:r>
        <w:rPr>
          <w:rFonts w:hint="eastAsia" w:ascii="仿宋" w:hAnsi="仿宋" w:eastAsia="仿宋_GB2312" w:cs="宋体"/>
          <w:bCs/>
          <w:color w:val="000000" w:themeColor="text1"/>
          <w:kern w:val="0"/>
          <w:sz w:val="32"/>
          <w:szCs w:val="32"/>
          <w14:textFill>
            <w14:solidFill>
              <w14:schemeClr w14:val="tx1"/>
            </w14:solidFill>
          </w14:textFill>
        </w:rPr>
        <w:t>战略性新兴产业发展</w:t>
      </w:r>
      <w:r>
        <w:rPr>
          <w:rFonts w:ascii="仿宋" w:hAnsi="仿宋" w:eastAsia="仿宋_GB2312" w:cs="宋体"/>
          <w:bCs/>
          <w:color w:val="000000" w:themeColor="text1"/>
          <w:kern w:val="0"/>
          <w:sz w:val="32"/>
          <w:szCs w:val="32"/>
          <w14:textFill>
            <w14:solidFill>
              <w14:schemeClr w14:val="tx1"/>
            </w14:solidFill>
          </w14:textFill>
        </w:rPr>
        <w:t>重点领域，</w:t>
      </w:r>
      <w:r>
        <w:rPr>
          <w:rFonts w:hint="eastAsia" w:ascii="仿宋" w:hAnsi="仿宋" w:eastAsia="仿宋_GB2312" w:cs="宋体"/>
          <w:bCs/>
          <w:color w:val="000000" w:themeColor="text1"/>
          <w:kern w:val="0"/>
          <w:sz w:val="32"/>
          <w:szCs w:val="32"/>
          <w14:textFill>
            <w14:solidFill>
              <w14:schemeClr w14:val="tx1"/>
            </w14:solidFill>
          </w14:textFill>
        </w:rPr>
        <w:t>鼓励和引导企业开放平台资源，共享检验检测、实验验证环境、仿真模拟等技术平台，开放试验研发设备、数据等资源要素，</w:t>
      </w:r>
      <w:r>
        <w:rPr>
          <w:rFonts w:ascii="仿宋" w:hAnsi="仿宋" w:eastAsia="仿宋_GB2312" w:cs="宋体"/>
          <w:bCs/>
          <w:color w:val="000000" w:themeColor="text1"/>
          <w:kern w:val="0"/>
          <w:sz w:val="32"/>
          <w:szCs w:val="32"/>
          <w14:textFill>
            <w14:solidFill>
              <w14:schemeClr w14:val="tx1"/>
            </w14:solidFill>
          </w14:textFill>
        </w:rPr>
        <w:t>提高应用场景“含金量”</w:t>
      </w:r>
      <w:r>
        <w:rPr>
          <w:rFonts w:hint="eastAsia" w:ascii="仿宋" w:hAnsi="仿宋" w:eastAsia="仿宋_GB2312" w:cs="宋体"/>
          <w:bCs/>
          <w:color w:val="000000" w:themeColor="text1"/>
          <w:kern w:val="0"/>
          <w:sz w:val="32"/>
          <w:szCs w:val="32"/>
          <w14:textFill>
            <w14:solidFill>
              <w14:schemeClr w14:val="tx1"/>
            </w14:solidFill>
          </w14:textFill>
        </w:rPr>
        <w:t>。搭建公共数据服务平台，以场景应用需求为牵引，加快推进公共数据开放，以数据共享支撑新场景应用。</w:t>
      </w:r>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
          <w:bCs/>
          <w:color w:val="000000" w:themeColor="text1"/>
          <w:kern w:val="0"/>
          <w:sz w:val="32"/>
          <w:szCs w:val="32"/>
          <w14:textFill>
            <w14:solidFill>
              <w14:schemeClr w14:val="tx1"/>
            </w14:solidFill>
          </w14:textFill>
        </w:rPr>
        <w:t>大力培育打造有竞争力的服务品牌。</w:t>
      </w:r>
      <w:r>
        <w:rPr>
          <w:rFonts w:hint="eastAsia" w:ascii="仿宋" w:hAnsi="仿宋" w:eastAsia="仿宋_GB2312" w:cs="宋体"/>
          <w:bCs/>
          <w:color w:val="000000" w:themeColor="text1"/>
          <w:kern w:val="0"/>
          <w:sz w:val="32"/>
          <w:szCs w:val="32"/>
          <w14:textFill>
            <w14:solidFill>
              <w14:schemeClr w14:val="tx1"/>
            </w14:solidFill>
          </w14:textFill>
        </w:rPr>
        <w:t>支持行业协会商会、第三方机构开展战略性新兴产业相关服务业品牌培育工作，树立行业标杆和服务典范。持续提升现有服务品牌的影响力，依托各区县（市）优势产业资源，打造一批特色鲜明的区域服务品牌，争取成为全国知名服务品牌。研究建立服务品牌培育和评价标准体系，引导相关服务业企业树立品牌意识，健全品牌营运管理体系，加快培育形成“郑州服务”品牌，立足郑州、布局河南、服务全国、面向全球，推动“郑州服务”品牌走出去。</w:t>
      </w:r>
    </w:p>
    <w:p>
      <w:pPr>
        <w:pStyle w:val="3"/>
        <w:snapToGrid w:val="0"/>
        <w:spacing w:before="0" w:after="0" w:line="360" w:lineRule="auto"/>
        <w:ind w:firstLine="643" w:firstLineChars="200"/>
        <w:rPr>
          <w:rFonts w:ascii="仿宋_GB2312" w:hAnsi="仿宋_GB2312" w:eastAsia="仿宋_GB2312" w:cs="仿宋_GB2312"/>
          <w:color w:val="000000" w:themeColor="text1"/>
          <w14:textFill>
            <w14:solidFill>
              <w14:schemeClr w14:val="tx1"/>
            </w14:solidFill>
          </w14:textFill>
        </w:rPr>
      </w:pPr>
      <w:bookmarkStart w:id="53" w:name="_Toc22874"/>
      <w:r>
        <w:rPr>
          <w:rFonts w:hint="eastAsia" w:ascii="仿宋_GB2312" w:hAnsi="仿宋_GB2312" w:eastAsia="仿宋_GB2312" w:cs="仿宋_GB2312"/>
          <w:color w:val="000000" w:themeColor="text1"/>
          <w14:textFill>
            <w14:solidFill>
              <w14:schemeClr w14:val="tx1"/>
            </w14:solidFill>
          </w14:textFill>
        </w:rPr>
        <w:t>（五）加快实施数字赋能工程，培育发展新业态新模式</w:t>
      </w:r>
      <w:bookmarkEnd w:id="53"/>
    </w:p>
    <w:p>
      <w:pPr>
        <w:snapToGrid w:val="0"/>
        <w:spacing w:line="360" w:lineRule="auto"/>
        <w:ind w:firstLine="643" w:firstLineChars="200"/>
        <w:rPr>
          <w:sz w:val="32"/>
          <w:szCs w:val="32"/>
        </w:rPr>
      </w:pPr>
      <w:r>
        <w:rPr>
          <w:rFonts w:hint="eastAsia" w:ascii="仿宋" w:hAnsi="仿宋" w:eastAsia="仿宋_GB2312" w:cs="宋体"/>
          <w:b/>
          <w:bCs/>
          <w:color w:val="000000" w:themeColor="text1"/>
          <w:kern w:val="0"/>
          <w:sz w:val="32"/>
          <w:szCs w:val="32"/>
          <w14:textFill>
            <w14:solidFill>
              <w14:schemeClr w14:val="tx1"/>
            </w14:solidFill>
          </w14:textFill>
        </w:rPr>
        <w:t>促进数字化赋能。</w:t>
      </w:r>
      <w:r>
        <w:rPr>
          <w:rFonts w:hint="eastAsia" w:ascii="仿宋" w:hAnsi="仿宋" w:eastAsia="仿宋_GB2312" w:cs="宋体"/>
          <w:bCs/>
          <w:color w:val="000000" w:themeColor="text1"/>
          <w:kern w:val="0"/>
          <w:sz w:val="32"/>
          <w:szCs w:val="32"/>
          <w14:textFill>
            <w14:solidFill>
              <w14:schemeClr w14:val="tx1"/>
            </w14:solidFill>
          </w14:textFill>
        </w:rPr>
        <w:t>大力加快推进数字技术为服务业各行业赋能，促进相关服务业与数字化发展紧密结合，使数字化成为新业态培育和商业模式创新的关键因素，加快推动产业数字化转型。鼓励引导公共服务机构数据开放，探索实现公共数据、社会数据、企业数据等多源数据协同应用。发展智慧物流，推进</w:t>
      </w:r>
      <w:r>
        <w:rPr>
          <w:rFonts w:hint="eastAsia" w:ascii="仿宋_GB2312" w:hAnsi="Times New Roman" w:eastAsia="仿宋_GB2312" w:cs="Times New Roman"/>
          <w:bCs/>
          <w:sz w:val="32"/>
          <w:szCs w:val="32"/>
        </w:rPr>
        <w:t>郑州航空港区</w:t>
      </w:r>
      <w:r>
        <w:rPr>
          <w:rFonts w:hint="eastAsia" w:ascii="仿宋" w:hAnsi="仿宋" w:eastAsia="仿宋_GB2312" w:cs="宋体"/>
          <w:bCs/>
          <w:color w:val="000000" w:themeColor="text1"/>
          <w:kern w:val="0"/>
          <w:sz w:val="32"/>
          <w:szCs w:val="32"/>
          <w14:textFill>
            <w14:solidFill>
              <w14:schemeClr w14:val="tx1"/>
            </w14:solidFill>
          </w14:textFill>
        </w:rPr>
        <w:t>物流园区数字化升级改造，建设智慧物流园区。发展金融科技，推动大数据、人工智能、区块链技术在金融服务中的创新应用。积极顺应战略性新兴产业发展新趋势、新要求，培育融合发展新生态，大力发展“金融</w:t>
      </w:r>
      <w:r>
        <w:rPr>
          <w:rFonts w:ascii="仿宋" w:hAnsi="仿宋" w:eastAsia="仿宋_GB2312" w:cs="宋体"/>
          <w:bCs/>
          <w:color w:val="000000" w:themeColor="text1"/>
          <w:kern w:val="0"/>
          <w:sz w:val="32"/>
          <w:szCs w:val="32"/>
          <w14:textFill>
            <w14:solidFill>
              <w14:schemeClr w14:val="tx1"/>
            </w14:solidFill>
          </w14:textFill>
        </w:rPr>
        <w:t>+</w:t>
      </w:r>
      <w:r>
        <w:rPr>
          <w:rFonts w:hint="eastAsia" w:ascii="仿宋" w:hAnsi="仿宋" w:eastAsia="仿宋_GB2312" w:cs="宋体"/>
          <w:bCs/>
          <w:color w:val="000000" w:themeColor="text1"/>
          <w:kern w:val="0"/>
          <w:sz w:val="32"/>
          <w:szCs w:val="32"/>
          <w14:textFill>
            <w14:solidFill>
              <w14:schemeClr w14:val="tx1"/>
            </w14:solidFill>
          </w14:textFill>
        </w:rPr>
        <w:t>”“科技</w:t>
      </w:r>
      <w:r>
        <w:rPr>
          <w:rFonts w:ascii="仿宋" w:hAnsi="仿宋" w:eastAsia="仿宋_GB2312" w:cs="宋体"/>
          <w:bCs/>
          <w:color w:val="000000" w:themeColor="text1"/>
          <w:kern w:val="0"/>
          <w:sz w:val="32"/>
          <w:szCs w:val="32"/>
          <w14:textFill>
            <w14:solidFill>
              <w14:schemeClr w14:val="tx1"/>
            </w14:solidFill>
          </w14:textFill>
        </w:rPr>
        <w:t>+</w:t>
      </w:r>
      <w:r>
        <w:rPr>
          <w:rFonts w:hint="eastAsia" w:ascii="仿宋" w:hAnsi="仿宋" w:eastAsia="仿宋_GB2312" w:cs="宋体"/>
          <w:bCs/>
          <w:color w:val="000000" w:themeColor="text1"/>
          <w:kern w:val="0"/>
          <w:sz w:val="32"/>
          <w:szCs w:val="32"/>
          <w14:textFill>
            <w14:solidFill>
              <w14:schemeClr w14:val="tx1"/>
            </w14:solidFill>
          </w14:textFill>
        </w:rPr>
        <w:t>”“信息</w:t>
      </w:r>
      <w:r>
        <w:rPr>
          <w:rFonts w:ascii="仿宋" w:hAnsi="仿宋" w:eastAsia="仿宋_GB2312" w:cs="宋体"/>
          <w:bCs/>
          <w:color w:val="000000" w:themeColor="text1"/>
          <w:kern w:val="0"/>
          <w:sz w:val="32"/>
          <w:szCs w:val="32"/>
          <w14:textFill>
            <w14:solidFill>
              <w14:schemeClr w14:val="tx1"/>
            </w14:solidFill>
          </w14:textFill>
        </w:rPr>
        <w:t>+</w:t>
      </w:r>
      <w:r>
        <w:rPr>
          <w:rFonts w:hint="eastAsia" w:ascii="仿宋" w:hAnsi="仿宋" w:eastAsia="仿宋_GB2312" w:cs="宋体"/>
          <w:bCs/>
          <w:color w:val="000000" w:themeColor="text1"/>
          <w:kern w:val="0"/>
          <w:sz w:val="32"/>
          <w:szCs w:val="32"/>
          <w14:textFill>
            <w14:solidFill>
              <w14:schemeClr w14:val="tx1"/>
            </w14:solidFill>
          </w14:textFill>
        </w:rPr>
        <w:t>”等融合型服务行业，实现业态创新和功能完善。</w:t>
      </w:r>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
          <w:bCs/>
          <w:color w:val="000000" w:themeColor="text1"/>
          <w:kern w:val="0"/>
          <w:sz w:val="32"/>
          <w:szCs w:val="32"/>
          <w14:textFill>
            <w14:solidFill>
              <w14:schemeClr w14:val="tx1"/>
            </w14:solidFill>
          </w14:textFill>
        </w:rPr>
        <w:t>以平台思维推进产业集群化。</w:t>
      </w:r>
      <w:r>
        <w:rPr>
          <w:rFonts w:hint="eastAsia" w:ascii="仿宋" w:hAnsi="仿宋" w:eastAsia="仿宋_GB2312" w:cs="宋体"/>
          <w:bCs/>
          <w:color w:val="000000" w:themeColor="text1"/>
          <w:kern w:val="0"/>
          <w:sz w:val="32"/>
          <w:szCs w:val="32"/>
          <w14:textFill>
            <w14:solidFill>
              <w14:schemeClr w14:val="tx1"/>
            </w14:solidFill>
          </w14:textFill>
        </w:rPr>
        <w:t>推动战略性新兴产业重点领域企业依托上下游产业资源，建设开放式行业发展平台、公共信息服务平台，推动更多人才、技术、资本等资源要素向平台汇聚。发挥服务业龙头企业引领作用，带动创新创业和小微企业发展，共建“平台</w:t>
      </w:r>
      <w:r>
        <w:rPr>
          <w:rFonts w:ascii="仿宋" w:hAnsi="仿宋" w:eastAsia="仿宋_GB2312" w:cs="宋体"/>
          <w:bCs/>
          <w:color w:val="000000" w:themeColor="text1"/>
          <w:kern w:val="0"/>
          <w:sz w:val="32"/>
          <w:szCs w:val="32"/>
          <w14:textFill>
            <w14:solidFill>
              <w14:schemeClr w14:val="tx1"/>
            </w14:solidFill>
          </w14:textFill>
        </w:rPr>
        <w:t>+</w:t>
      </w:r>
      <w:r>
        <w:rPr>
          <w:rFonts w:hint="eastAsia" w:ascii="仿宋" w:hAnsi="仿宋" w:eastAsia="仿宋_GB2312" w:cs="宋体"/>
          <w:bCs/>
          <w:color w:val="000000" w:themeColor="text1"/>
          <w:kern w:val="0"/>
          <w:sz w:val="32"/>
          <w:szCs w:val="32"/>
          <w14:textFill>
            <w14:solidFill>
              <w14:schemeClr w14:val="tx1"/>
            </w14:solidFill>
          </w14:textFill>
        </w:rPr>
        <w:t>模块”产业集群。强化相关服务业内部细分领域相互融合渗透，整合核心要素资源、优化配置和服务系统集成，充分发挥叠加放大效应，拓展增值空间。支持服务外包公共服务平台完善功能，以创新融合推动业态集聚，以信息技术打造相关服务业产业链、金融链、技术链、人才链、供应链合作节点。</w:t>
      </w:r>
    </w:p>
    <w:p>
      <w:pPr>
        <w:snapToGrid w:val="0"/>
        <w:spacing w:line="360" w:lineRule="auto"/>
        <w:ind w:firstLine="643"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
          <w:bCs/>
          <w:color w:val="000000" w:themeColor="text1"/>
          <w:kern w:val="0"/>
          <w:sz w:val="32"/>
          <w:szCs w:val="32"/>
          <w14:textFill>
            <w14:solidFill>
              <w14:schemeClr w14:val="tx1"/>
            </w14:solidFill>
          </w14:textFill>
        </w:rPr>
        <w:t>加强新一代信息技术服务。</w:t>
      </w:r>
      <w:r>
        <w:rPr>
          <w:rFonts w:hint="eastAsia" w:ascii="仿宋" w:hAnsi="仿宋" w:eastAsia="仿宋_GB2312" w:cs="宋体"/>
          <w:bCs/>
          <w:color w:val="000000" w:themeColor="text1"/>
          <w:kern w:val="0"/>
          <w:sz w:val="32"/>
          <w:szCs w:val="32"/>
          <w14:textFill>
            <w14:solidFill>
              <w14:schemeClr w14:val="tx1"/>
            </w14:solidFill>
          </w14:textFill>
        </w:rPr>
        <w:t>持续优化创新服务供给，加强大数据、云计算、</w:t>
      </w:r>
      <w:r>
        <w:rPr>
          <w:rFonts w:ascii="仿宋" w:hAnsi="仿宋" w:eastAsia="仿宋_GB2312" w:cs="宋体"/>
          <w:bCs/>
          <w:color w:val="000000" w:themeColor="text1"/>
          <w:kern w:val="0"/>
          <w:sz w:val="32"/>
          <w:szCs w:val="32"/>
          <w14:textFill>
            <w14:solidFill>
              <w14:schemeClr w14:val="tx1"/>
            </w14:solidFill>
          </w14:textFill>
        </w:rPr>
        <w:t>5G</w:t>
      </w:r>
      <w:r>
        <w:rPr>
          <w:rFonts w:hint="eastAsia" w:ascii="仿宋" w:hAnsi="仿宋" w:eastAsia="仿宋_GB2312" w:cs="宋体"/>
          <w:bCs/>
          <w:color w:val="000000" w:themeColor="text1"/>
          <w:kern w:val="0"/>
          <w:sz w:val="32"/>
          <w:szCs w:val="32"/>
          <w14:textFill>
            <w14:solidFill>
              <w14:schemeClr w14:val="tx1"/>
            </w14:solidFill>
          </w14:textFill>
        </w:rPr>
        <w:t>、人工智能、区块链等新一代信息技术承载和行业各领域覆盖，构建互为场景、互为基础、互为生态的协同应用体系。依托城市大脑、国家超级计算郑州中心等信息平台，为创新创业、研发服务、检测认证、航空运营等提供算力支撑。加强对科技成果和各类市场主体的精准画像，提升多元化信息技术服务能力，为战略性新兴发展提供信息技术支撑。鼓励企业通过新一代信息技术调整产品和服务供给，帮助中小微企业转型升级，减成本、降门槛、缩周期，提升企业发展活力。</w:t>
      </w:r>
    </w:p>
    <w:p>
      <w:pPr>
        <w:pStyle w:val="2"/>
        <w:keepNext w:val="0"/>
        <w:snapToGrid w:val="0"/>
        <w:spacing w:before="0" w:after="0" w:line="360" w:lineRule="auto"/>
        <w:ind w:firstLine="640" w:firstLineChars="200"/>
        <w:rPr>
          <w:rFonts w:ascii="黑体" w:hAnsi="黑体" w:eastAsia="黑体"/>
          <w:b w:val="0"/>
          <w:color w:val="000000" w:themeColor="text1"/>
          <w:sz w:val="32"/>
          <w:szCs w:val="32"/>
          <w14:textFill>
            <w14:solidFill>
              <w14:schemeClr w14:val="tx1"/>
            </w14:solidFill>
          </w14:textFill>
        </w:rPr>
      </w:pPr>
      <w:bookmarkStart w:id="54" w:name="_Toc3039"/>
      <w:r>
        <w:rPr>
          <w:rFonts w:hint="eastAsia" w:ascii="黑体" w:hAnsi="黑体" w:eastAsia="黑体"/>
          <w:b w:val="0"/>
          <w:color w:val="000000" w:themeColor="text1"/>
          <w:sz w:val="32"/>
          <w:szCs w:val="32"/>
          <w14:textFill>
            <w14:solidFill>
              <w14:schemeClr w14:val="tx1"/>
            </w14:solidFill>
          </w14:textFill>
        </w:rPr>
        <w:t>五、保障措施</w:t>
      </w:r>
      <w:bookmarkEnd w:id="54"/>
    </w:p>
    <w:p>
      <w:pPr>
        <w:pStyle w:val="3"/>
        <w:snapToGrid w:val="0"/>
        <w:spacing w:before="0" w:after="0" w:line="360" w:lineRule="auto"/>
        <w:ind w:firstLine="643" w:firstLineChars="200"/>
        <w:rPr>
          <w:rFonts w:ascii="仿宋_GB2312" w:hAnsi="仿宋_GB2312" w:eastAsia="仿宋_GB2312" w:cs="仿宋_GB2312"/>
          <w:color w:val="000000" w:themeColor="text1"/>
          <w14:textFill>
            <w14:solidFill>
              <w14:schemeClr w14:val="tx1"/>
            </w14:solidFill>
          </w14:textFill>
        </w:rPr>
      </w:pPr>
      <w:bookmarkStart w:id="55" w:name="_Toc7"/>
      <w:r>
        <w:rPr>
          <w:rFonts w:hint="eastAsia" w:ascii="仿宋_GB2312" w:hAnsi="仿宋_GB2312" w:eastAsia="仿宋_GB2312" w:cs="仿宋_GB2312"/>
          <w:color w:val="000000" w:themeColor="text1"/>
          <w14:textFill>
            <w14:solidFill>
              <w14:schemeClr w14:val="tx1"/>
            </w14:solidFill>
          </w14:textFill>
        </w:rPr>
        <w:t>（一）健全组织保障</w:t>
      </w:r>
      <w:bookmarkEnd w:id="55"/>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发挥战略性新兴产业相关服务业发展规划引领作用，以各区县（市）和功能区、市政府各部门等为规划落实主体，分工负责、密切配合，形成合力，形成资源共享、协同推进的工作格局，积极研究解决规划实施中出现的新情况、新问题，统筹推进产业发展。做好规划实施的衔接与协调，加强发展规划与各战略性新兴产业发展规划的衔接。建立并持续完善项目库，做好“十四五”的中期、期末评估等工作，及时发现问题，合理调整目标任务、实施重点、政策举措及保障机制。各开发区、区县（市）和市直相关部门要细化工作举措，确保各项任务落实到位。</w:t>
      </w:r>
    </w:p>
    <w:p>
      <w:pPr>
        <w:pStyle w:val="3"/>
        <w:snapToGrid w:val="0"/>
        <w:spacing w:before="0" w:after="0" w:line="360" w:lineRule="auto"/>
        <w:ind w:firstLine="643" w:firstLineChars="200"/>
        <w:rPr>
          <w:rFonts w:ascii="仿宋_GB2312" w:hAnsi="仿宋_GB2312" w:eastAsia="仿宋_GB2312" w:cs="仿宋_GB2312"/>
          <w:color w:val="000000" w:themeColor="text1"/>
          <w14:textFill>
            <w14:solidFill>
              <w14:schemeClr w14:val="tx1"/>
            </w14:solidFill>
          </w14:textFill>
        </w:rPr>
      </w:pPr>
      <w:bookmarkStart w:id="56" w:name="_Toc14619"/>
      <w:r>
        <w:rPr>
          <w:rFonts w:hint="eastAsia" w:ascii="仿宋_GB2312" w:hAnsi="仿宋_GB2312" w:eastAsia="仿宋_GB2312" w:cs="仿宋_GB2312"/>
          <w:color w:val="000000" w:themeColor="text1"/>
          <w14:textFill>
            <w14:solidFill>
              <w14:schemeClr w14:val="tx1"/>
            </w14:solidFill>
          </w14:textFill>
        </w:rPr>
        <w:t>（二）强化资金支持</w:t>
      </w:r>
      <w:bookmarkEnd w:id="56"/>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加强财政资金统筹支持，建立市区两级财政统分结合投入机制，加大财政科技投入力度，建立稳定增长的科技财政投入机制，重点用于布局技术创新平台、建设公共服务平台、优化生态体系等。设立郑州市战略性新兴产业相关服务业发展引导资金，充分发挥政府财政扶持政策的引领作用，加强对相关服务业重点企业的支持力度，注重财政资金引导环节的风险防范，推动相关服务业高质量发展。统筹全市各类增量建设专项，引导重大科研平台、重点创新企业、高端人才等聚集布局。创新多元资本投入机制，充分发挥财政资金的示范、引导和放大效应，积极引导社会资本以股权投资方式支持产业发展。鼓励龙头企业、投资机构等社会力量投资建设各类相关服务业发展载体，参与园区公共服务、公用事业、资源环境、基础设施等重大项目建设。完善创业投资与相关服务业政府项目对接机制，引导投资基金通过股权投资方式支持相关服务业实体经济发展。</w:t>
      </w:r>
    </w:p>
    <w:p>
      <w:pPr>
        <w:pStyle w:val="3"/>
        <w:snapToGrid w:val="0"/>
        <w:spacing w:before="0" w:after="0" w:line="360" w:lineRule="auto"/>
        <w:ind w:firstLine="643" w:firstLineChars="200"/>
        <w:rPr>
          <w:rFonts w:ascii="仿宋_GB2312" w:hAnsi="仿宋_GB2312" w:eastAsia="仿宋_GB2312" w:cs="仿宋_GB2312"/>
          <w:color w:val="000000" w:themeColor="text1"/>
          <w14:textFill>
            <w14:solidFill>
              <w14:schemeClr w14:val="tx1"/>
            </w14:solidFill>
          </w14:textFill>
        </w:rPr>
      </w:pPr>
      <w:bookmarkStart w:id="57" w:name="_Toc25384"/>
      <w:r>
        <w:rPr>
          <w:rFonts w:hint="eastAsia" w:ascii="仿宋_GB2312" w:hAnsi="仿宋_GB2312" w:eastAsia="仿宋_GB2312" w:cs="仿宋_GB2312"/>
          <w:color w:val="000000" w:themeColor="text1"/>
          <w14:textFill>
            <w14:solidFill>
              <w14:schemeClr w14:val="tx1"/>
            </w14:solidFill>
          </w14:textFill>
        </w:rPr>
        <w:t>（三）深化开放合作</w:t>
      </w:r>
      <w:bookmarkEnd w:id="57"/>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完善战略性新兴产业相关服务业资源向全社会开放共享的运行管理体制，以政府购买服务、后补助等方式支持相关服务业发展。深化校地、校企、城市间合作，推动跨区域创新协同。深度参与国家“一带一路”倡议，支持有条件的相关服务业企业沿“一带一路”走出去，积极参与沿线国家货物贸易及服务贸易。强化区域分工协作，着力整合全省相关服务业要素聚集郑州。探索建立中原城市群、黄河流域重点城市战略性新兴产业相关服务业发展协作制度，通过共同招商、共建产业分园等形式，深入开展产业协作，在知识产权、检测认证、创新创业、现代金融等领域合作的基础上，主动参与承接先进地区相关服务业的有序转移，更加注重引进先进技术、领军人才、新型业态和服务模式。吸引国内外知名企业和机构，鼓励研发中心、运营中心、采购中心等企业总部和知名服务业企业落户郑州。</w:t>
      </w:r>
    </w:p>
    <w:p>
      <w:pPr>
        <w:pStyle w:val="3"/>
        <w:snapToGrid w:val="0"/>
        <w:spacing w:before="0" w:after="0" w:line="360" w:lineRule="auto"/>
        <w:ind w:firstLine="643" w:firstLineChars="200"/>
        <w:rPr>
          <w:rFonts w:ascii="仿宋_GB2312" w:hAnsi="仿宋_GB2312" w:eastAsia="仿宋_GB2312" w:cs="仿宋_GB2312"/>
          <w:color w:val="000000" w:themeColor="text1"/>
          <w14:textFill>
            <w14:solidFill>
              <w14:schemeClr w14:val="tx1"/>
            </w14:solidFill>
          </w14:textFill>
        </w:rPr>
      </w:pPr>
      <w:bookmarkStart w:id="58" w:name="_Toc25428"/>
      <w:r>
        <w:rPr>
          <w:rFonts w:hint="eastAsia" w:ascii="仿宋_GB2312" w:hAnsi="仿宋_GB2312" w:eastAsia="仿宋_GB2312" w:cs="仿宋_GB2312"/>
          <w:color w:val="000000" w:themeColor="text1"/>
          <w14:textFill>
            <w14:solidFill>
              <w14:schemeClr w14:val="tx1"/>
            </w14:solidFill>
          </w14:textFill>
        </w:rPr>
        <w:t>（四）完善评估制度</w:t>
      </w:r>
      <w:bookmarkEnd w:id="58"/>
    </w:p>
    <w:p>
      <w:pPr>
        <w:snapToGrid w:val="0"/>
        <w:spacing w:line="360" w:lineRule="auto"/>
        <w:ind w:firstLine="640" w:firstLineChars="200"/>
        <w:rPr>
          <w:rFonts w:ascii="仿宋" w:hAnsi="仿宋" w:eastAsia="仿宋_GB2312" w:cs="宋体"/>
          <w:bCs/>
          <w:color w:val="000000" w:themeColor="text1"/>
          <w:kern w:val="0"/>
          <w:sz w:val="32"/>
          <w:szCs w:val="32"/>
          <w14:textFill>
            <w14:solidFill>
              <w14:schemeClr w14:val="tx1"/>
            </w14:solidFill>
          </w14:textFill>
        </w:rPr>
      </w:pPr>
      <w:r>
        <w:rPr>
          <w:rFonts w:hint="eastAsia" w:ascii="仿宋" w:hAnsi="仿宋" w:eastAsia="仿宋_GB2312" w:cs="宋体"/>
          <w:bCs/>
          <w:color w:val="000000" w:themeColor="text1"/>
          <w:kern w:val="0"/>
          <w:sz w:val="32"/>
          <w:szCs w:val="32"/>
          <w14:textFill>
            <w14:solidFill>
              <w14:schemeClr w14:val="tx1"/>
            </w14:solidFill>
          </w14:textFill>
        </w:rPr>
        <w:t>根据全市战略性新兴产业相关服务业发展实际，完善统计范围，加强产业监测和统计分析，为产业发展分析评估和政策制定提供基础支撑。积极开展对郑州市战略性新兴产业相关服务业规划指标、政策措施和重大工程等实施情况的跟踪监测分析，强化动态管理，专项分析评估结果，提高规划实施效果。建立规划实施定期考核机制，引入第三方专业机构开展评估，全面客观评价规划落实情况。建立信息共享机制，完善统计信息发布制度，加强对相关服务业重点领域发展态势的监测、预测和分析。</w:t>
      </w:r>
    </w:p>
    <w:bookmarkEnd w:id="59"/>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t xml:space="preserve">— </w:t>
                          </w:r>
                          <w:r>
                            <w:fldChar w:fldCharType="begin"/>
                          </w:r>
                          <w:r>
                            <w:instrText xml:space="preserve"> PAGE  \* MERGEFORMAT </w:instrText>
                          </w:r>
                          <w:r>
                            <w:fldChar w:fldCharType="separate"/>
                          </w:r>
                          <w:r>
                            <w:t>51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51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郑州市“十四五”数字创意产业发展规划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郑州市“十四五”战略性新兴产业相关服务业发展规划（2021-2025年）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7E2"/>
    <w:rsid w:val="0000129B"/>
    <w:rsid w:val="00004391"/>
    <w:rsid w:val="000054A7"/>
    <w:rsid w:val="0000770C"/>
    <w:rsid w:val="00013650"/>
    <w:rsid w:val="000219E0"/>
    <w:rsid w:val="00022D19"/>
    <w:rsid w:val="00033841"/>
    <w:rsid w:val="00033BC0"/>
    <w:rsid w:val="000420A3"/>
    <w:rsid w:val="000443FD"/>
    <w:rsid w:val="00045ADA"/>
    <w:rsid w:val="0005317D"/>
    <w:rsid w:val="00053EA2"/>
    <w:rsid w:val="00056490"/>
    <w:rsid w:val="000652BB"/>
    <w:rsid w:val="00072DCB"/>
    <w:rsid w:val="00073EA9"/>
    <w:rsid w:val="00092B79"/>
    <w:rsid w:val="00094CEC"/>
    <w:rsid w:val="000A26D2"/>
    <w:rsid w:val="000A2A9A"/>
    <w:rsid w:val="000A73D5"/>
    <w:rsid w:val="000E0F80"/>
    <w:rsid w:val="000F1649"/>
    <w:rsid w:val="000F74C5"/>
    <w:rsid w:val="00101AC8"/>
    <w:rsid w:val="00101E5F"/>
    <w:rsid w:val="00106A4C"/>
    <w:rsid w:val="00121FE6"/>
    <w:rsid w:val="00147931"/>
    <w:rsid w:val="00154C05"/>
    <w:rsid w:val="00155EEC"/>
    <w:rsid w:val="0016767E"/>
    <w:rsid w:val="00180AAF"/>
    <w:rsid w:val="00180D27"/>
    <w:rsid w:val="001830CA"/>
    <w:rsid w:val="00183696"/>
    <w:rsid w:val="001852C9"/>
    <w:rsid w:val="00186FA3"/>
    <w:rsid w:val="001A2FC3"/>
    <w:rsid w:val="001A4B54"/>
    <w:rsid w:val="001B44CB"/>
    <w:rsid w:val="001C4DF7"/>
    <w:rsid w:val="001D0D5B"/>
    <w:rsid w:val="001D387C"/>
    <w:rsid w:val="001D3D34"/>
    <w:rsid w:val="001D42AF"/>
    <w:rsid w:val="001D61DD"/>
    <w:rsid w:val="001E73B9"/>
    <w:rsid w:val="001F16B0"/>
    <w:rsid w:val="00205D18"/>
    <w:rsid w:val="002075EF"/>
    <w:rsid w:val="00215F35"/>
    <w:rsid w:val="0022358E"/>
    <w:rsid w:val="00236924"/>
    <w:rsid w:val="00244C6F"/>
    <w:rsid w:val="002457E2"/>
    <w:rsid w:val="0024639D"/>
    <w:rsid w:val="00247B81"/>
    <w:rsid w:val="0026515A"/>
    <w:rsid w:val="0027039F"/>
    <w:rsid w:val="00276CF1"/>
    <w:rsid w:val="0028134A"/>
    <w:rsid w:val="00281F01"/>
    <w:rsid w:val="00290D06"/>
    <w:rsid w:val="002950A4"/>
    <w:rsid w:val="00297230"/>
    <w:rsid w:val="002A4F74"/>
    <w:rsid w:val="002B450B"/>
    <w:rsid w:val="002B6729"/>
    <w:rsid w:val="002B6A2D"/>
    <w:rsid w:val="002C1FDB"/>
    <w:rsid w:val="002E66E4"/>
    <w:rsid w:val="002F3F18"/>
    <w:rsid w:val="002F7085"/>
    <w:rsid w:val="002F7AFF"/>
    <w:rsid w:val="00304589"/>
    <w:rsid w:val="00305034"/>
    <w:rsid w:val="003052E1"/>
    <w:rsid w:val="0030752B"/>
    <w:rsid w:val="00314BAD"/>
    <w:rsid w:val="00315085"/>
    <w:rsid w:val="003217DA"/>
    <w:rsid w:val="00323A82"/>
    <w:rsid w:val="00331FB8"/>
    <w:rsid w:val="0034146F"/>
    <w:rsid w:val="00341891"/>
    <w:rsid w:val="00343F2F"/>
    <w:rsid w:val="003517CA"/>
    <w:rsid w:val="00353F79"/>
    <w:rsid w:val="00367E86"/>
    <w:rsid w:val="003835D4"/>
    <w:rsid w:val="003A2334"/>
    <w:rsid w:val="003A4EF3"/>
    <w:rsid w:val="003B1632"/>
    <w:rsid w:val="003C583C"/>
    <w:rsid w:val="003D0E46"/>
    <w:rsid w:val="003D4E0D"/>
    <w:rsid w:val="003F0934"/>
    <w:rsid w:val="0040040D"/>
    <w:rsid w:val="00404BCD"/>
    <w:rsid w:val="00411705"/>
    <w:rsid w:val="00412802"/>
    <w:rsid w:val="00413F3E"/>
    <w:rsid w:val="00414717"/>
    <w:rsid w:val="00414C63"/>
    <w:rsid w:val="00416266"/>
    <w:rsid w:val="00420826"/>
    <w:rsid w:val="00467ADF"/>
    <w:rsid w:val="0047119D"/>
    <w:rsid w:val="00471660"/>
    <w:rsid w:val="00473A14"/>
    <w:rsid w:val="00473E00"/>
    <w:rsid w:val="00487A8B"/>
    <w:rsid w:val="00491DDB"/>
    <w:rsid w:val="00492579"/>
    <w:rsid w:val="004963F9"/>
    <w:rsid w:val="004A11FF"/>
    <w:rsid w:val="004B1EC5"/>
    <w:rsid w:val="004B7E38"/>
    <w:rsid w:val="004C4695"/>
    <w:rsid w:val="004D60C5"/>
    <w:rsid w:val="004F0577"/>
    <w:rsid w:val="004F1D0F"/>
    <w:rsid w:val="004F7C43"/>
    <w:rsid w:val="00500533"/>
    <w:rsid w:val="00502EC5"/>
    <w:rsid w:val="0050362F"/>
    <w:rsid w:val="00507A56"/>
    <w:rsid w:val="0051145A"/>
    <w:rsid w:val="00513426"/>
    <w:rsid w:val="005223DC"/>
    <w:rsid w:val="00522B97"/>
    <w:rsid w:val="00522C7D"/>
    <w:rsid w:val="00523350"/>
    <w:rsid w:val="005256A7"/>
    <w:rsid w:val="00542691"/>
    <w:rsid w:val="00542C5D"/>
    <w:rsid w:val="0055084C"/>
    <w:rsid w:val="00562D9E"/>
    <w:rsid w:val="00575DCC"/>
    <w:rsid w:val="005846B7"/>
    <w:rsid w:val="00585A6A"/>
    <w:rsid w:val="00593C33"/>
    <w:rsid w:val="005A30DD"/>
    <w:rsid w:val="005A3D49"/>
    <w:rsid w:val="005A5CE2"/>
    <w:rsid w:val="005A69C1"/>
    <w:rsid w:val="005B05E7"/>
    <w:rsid w:val="005B60EE"/>
    <w:rsid w:val="005D20EE"/>
    <w:rsid w:val="005D59AE"/>
    <w:rsid w:val="005F41CD"/>
    <w:rsid w:val="005F5C91"/>
    <w:rsid w:val="005F6B34"/>
    <w:rsid w:val="006001AC"/>
    <w:rsid w:val="0062114C"/>
    <w:rsid w:val="0062151C"/>
    <w:rsid w:val="006228E0"/>
    <w:rsid w:val="00622EC0"/>
    <w:rsid w:val="00627877"/>
    <w:rsid w:val="00637C0D"/>
    <w:rsid w:val="00647E30"/>
    <w:rsid w:val="00647EE2"/>
    <w:rsid w:val="006546F9"/>
    <w:rsid w:val="006658E3"/>
    <w:rsid w:val="00667B24"/>
    <w:rsid w:val="00672278"/>
    <w:rsid w:val="00672AE0"/>
    <w:rsid w:val="0068422B"/>
    <w:rsid w:val="00693D68"/>
    <w:rsid w:val="006A07B5"/>
    <w:rsid w:val="006A334B"/>
    <w:rsid w:val="006A53DF"/>
    <w:rsid w:val="006B6E24"/>
    <w:rsid w:val="006C4B93"/>
    <w:rsid w:val="006D0A04"/>
    <w:rsid w:val="006E737A"/>
    <w:rsid w:val="006F4BC7"/>
    <w:rsid w:val="007060FB"/>
    <w:rsid w:val="00712ECA"/>
    <w:rsid w:val="007140A8"/>
    <w:rsid w:val="007157D5"/>
    <w:rsid w:val="00715F8D"/>
    <w:rsid w:val="0074024B"/>
    <w:rsid w:val="007458B0"/>
    <w:rsid w:val="007604A4"/>
    <w:rsid w:val="0076393D"/>
    <w:rsid w:val="00764DD8"/>
    <w:rsid w:val="00765686"/>
    <w:rsid w:val="007657A4"/>
    <w:rsid w:val="00767210"/>
    <w:rsid w:val="0079247F"/>
    <w:rsid w:val="0079322F"/>
    <w:rsid w:val="00794D52"/>
    <w:rsid w:val="007A1E46"/>
    <w:rsid w:val="007A282D"/>
    <w:rsid w:val="007B628E"/>
    <w:rsid w:val="007C1638"/>
    <w:rsid w:val="007C29EE"/>
    <w:rsid w:val="007C76EC"/>
    <w:rsid w:val="007D439E"/>
    <w:rsid w:val="007D5F24"/>
    <w:rsid w:val="007E0144"/>
    <w:rsid w:val="007E252B"/>
    <w:rsid w:val="007E39F9"/>
    <w:rsid w:val="007F04FA"/>
    <w:rsid w:val="007F2EE5"/>
    <w:rsid w:val="008174B4"/>
    <w:rsid w:val="00823FB6"/>
    <w:rsid w:val="008250AF"/>
    <w:rsid w:val="008339CD"/>
    <w:rsid w:val="008404A9"/>
    <w:rsid w:val="00847912"/>
    <w:rsid w:val="008504BA"/>
    <w:rsid w:val="00853A85"/>
    <w:rsid w:val="00862029"/>
    <w:rsid w:val="008631B9"/>
    <w:rsid w:val="00863EA0"/>
    <w:rsid w:val="008670F7"/>
    <w:rsid w:val="00867D75"/>
    <w:rsid w:val="00873C1C"/>
    <w:rsid w:val="0087670F"/>
    <w:rsid w:val="00880122"/>
    <w:rsid w:val="00882F6E"/>
    <w:rsid w:val="008849F7"/>
    <w:rsid w:val="0089203A"/>
    <w:rsid w:val="00892C8C"/>
    <w:rsid w:val="008A1100"/>
    <w:rsid w:val="008A1A63"/>
    <w:rsid w:val="008A5346"/>
    <w:rsid w:val="008A7BCA"/>
    <w:rsid w:val="008B14C3"/>
    <w:rsid w:val="008E2026"/>
    <w:rsid w:val="008E7D3D"/>
    <w:rsid w:val="008F25A3"/>
    <w:rsid w:val="008F334A"/>
    <w:rsid w:val="008F7F32"/>
    <w:rsid w:val="00902C4D"/>
    <w:rsid w:val="00902FC3"/>
    <w:rsid w:val="00905A85"/>
    <w:rsid w:val="009069F3"/>
    <w:rsid w:val="00910C0F"/>
    <w:rsid w:val="00910E34"/>
    <w:rsid w:val="00934094"/>
    <w:rsid w:val="00937670"/>
    <w:rsid w:val="00940939"/>
    <w:rsid w:val="00950D50"/>
    <w:rsid w:val="00971F47"/>
    <w:rsid w:val="0098043E"/>
    <w:rsid w:val="00987D5E"/>
    <w:rsid w:val="00995D07"/>
    <w:rsid w:val="009A27A8"/>
    <w:rsid w:val="009B5546"/>
    <w:rsid w:val="009C0108"/>
    <w:rsid w:val="009C5E7C"/>
    <w:rsid w:val="009D43DE"/>
    <w:rsid w:val="009D5B86"/>
    <w:rsid w:val="009E0559"/>
    <w:rsid w:val="009E1982"/>
    <w:rsid w:val="009E3B75"/>
    <w:rsid w:val="009F06D1"/>
    <w:rsid w:val="009F627D"/>
    <w:rsid w:val="00A01E24"/>
    <w:rsid w:val="00A162C2"/>
    <w:rsid w:val="00A257F8"/>
    <w:rsid w:val="00A410CD"/>
    <w:rsid w:val="00A41B98"/>
    <w:rsid w:val="00A43DDF"/>
    <w:rsid w:val="00A44074"/>
    <w:rsid w:val="00A45380"/>
    <w:rsid w:val="00A46B5E"/>
    <w:rsid w:val="00A53632"/>
    <w:rsid w:val="00A7059B"/>
    <w:rsid w:val="00A806BC"/>
    <w:rsid w:val="00A84FF3"/>
    <w:rsid w:val="00A915F7"/>
    <w:rsid w:val="00AA695B"/>
    <w:rsid w:val="00AA72B3"/>
    <w:rsid w:val="00AB2D1D"/>
    <w:rsid w:val="00AB366C"/>
    <w:rsid w:val="00AC0789"/>
    <w:rsid w:val="00AD0531"/>
    <w:rsid w:val="00AD16ED"/>
    <w:rsid w:val="00AD2BC4"/>
    <w:rsid w:val="00AD4DD2"/>
    <w:rsid w:val="00AE356C"/>
    <w:rsid w:val="00AE5574"/>
    <w:rsid w:val="00AF13D5"/>
    <w:rsid w:val="00AF518C"/>
    <w:rsid w:val="00B0650D"/>
    <w:rsid w:val="00B14218"/>
    <w:rsid w:val="00B314CB"/>
    <w:rsid w:val="00B326B1"/>
    <w:rsid w:val="00B352F2"/>
    <w:rsid w:val="00B37AE1"/>
    <w:rsid w:val="00B37DB5"/>
    <w:rsid w:val="00B41C2E"/>
    <w:rsid w:val="00B520BC"/>
    <w:rsid w:val="00B54B99"/>
    <w:rsid w:val="00B56D2E"/>
    <w:rsid w:val="00B706E6"/>
    <w:rsid w:val="00B73409"/>
    <w:rsid w:val="00B95061"/>
    <w:rsid w:val="00B9637B"/>
    <w:rsid w:val="00B973EB"/>
    <w:rsid w:val="00BB486B"/>
    <w:rsid w:val="00BC3F05"/>
    <w:rsid w:val="00BD0C3C"/>
    <w:rsid w:val="00BD5D6D"/>
    <w:rsid w:val="00BE4664"/>
    <w:rsid w:val="00BE5641"/>
    <w:rsid w:val="00BE5D65"/>
    <w:rsid w:val="00BF4F79"/>
    <w:rsid w:val="00BF621A"/>
    <w:rsid w:val="00C007E9"/>
    <w:rsid w:val="00C0252A"/>
    <w:rsid w:val="00C2770B"/>
    <w:rsid w:val="00C42E23"/>
    <w:rsid w:val="00C51C00"/>
    <w:rsid w:val="00C52957"/>
    <w:rsid w:val="00C5329F"/>
    <w:rsid w:val="00C54A98"/>
    <w:rsid w:val="00C72E56"/>
    <w:rsid w:val="00C842CC"/>
    <w:rsid w:val="00C84429"/>
    <w:rsid w:val="00C85F31"/>
    <w:rsid w:val="00C86978"/>
    <w:rsid w:val="00C95780"/>
    <w:rsid w:val="00C95C8F"/>
    <w:rsid w:val="00C965B3"/>
    <w:rsid w:val="00C9736F"/>
    <w:rsid w:val="00C97E72"/>
    <w:rsid w:val="00CB14CD"/>
    <w:rsid w:val="00CB28F9"/>
    <w:rsid w:val="00CB6E83"/>
    <w:rsid w:val="00CC38FE"/>
    <w:rsid w:val="00CD3E95"/>
    <w:rsid w:val="00CD72BC"/>
    <w:rsid w:val="00CE76DD"/>
    <w:rsid w:val="00CF0264"/>
    <w:rsid w:val="00CF43C6"/>
    <w:rsid w:val="00D02A91"/>
    <w:rsid w:val="00D03A18"/>
    <w:rsid w:val="00D044B4"/>
    <w:rsid w:val="00D12155"/>
    <w:rsid w:val="00D179AC"/>
    <w:rsid w:val="00D276FF"/>
    <w:rsid w:val="00D3045F"/>
    <w:rsid w:val="00D33B89"/>
    <w:rsid w:val="00D35566"/>
    <w:rsid w:val="00D50BED"/>
    <w:rsid w:val="00D52A13"/>
    <w:rsid w:val="00D55122"/>
    <w:rsid w:val="00D604B6"/>
    <w:rsid w:val="00D76211"/>
    <w:rsid w:val="00D76FAC"/>
    <w:rsid w:val="00D87037"/>
    <w:rsid w:val="00D9266C"/>
    <w:rsid w:val="00D95545"/>
    <w:rsid w:val="00DA0228"/>
    <w:rsid w:val="00DA318E"/>
    <w:rsid w:val="00DB370E"/>
    <w:rsid w:val="00DB63C2"/>
    <w:rsid w:val="00DC6164"/>
    <w:rsid w:val="00DE4CAB"/>
    <w:rsid w:val="00DE5BB3"/>
    <w:rsid w:val="00DE77DC"/>
    <w:rsid w:val="00DF0C68"/>
    <w:rsid w:val="00DF3E8E"/>
    <w:rsid w:val="00E02857"/>
    <w:rsid w:val="00E02A46"/>
    <w:rsid w:val="00E103CB"/>
    <w:rsid w:val="00E33D39"/>
    <w:rsid w:val="00E40E8A"/>
    <w:rsid w:val="00E50A34"/>
    <w:rsid w:val="00E61D8A"/>
    <w:rsid w:val="00E91B69"/>
    <w:rsid w:val="00EA5835"/>
    <w:rsid w:val="00EB03E4"/>
    <w:rsid w:val="00EB1A08"/>
    <w:rsid w:val="00ED7C49"/>
    <w:rsid w:val="00EF0F0B"/>
    <w:rsid w:val="00F0061C"/>
    <w:rsid w:val="00F07CE1"/>
    <w:rsid w:val="00F1142F"/>
    <w:rsid w:val="00F12690"/>
    <w:rsid w:val="00F164C2"/>
    <w:rsid w:val="00F17A66"/>
    <w:rsid w:val="00F17AA7"/>
    <w:rsid w:val="00F22717"/>
    <w:rsid w:val="00F255B4"/>
    <w:rsid w:val="00F34790"/>
    <w:rsid w:val="00F40343"/>
    <w:rsid w:val="00F42020"/>
    <w:rsid w:val="00F44381"/>
    <w:rsid w:val="00F51041"/>
    <w:rsid w:val="00F724AE"/>
    <w:rsid w:val="00F7443C"/>
    <w:rsid w:val="00F8385C"/>
    <w:rsid w:val="00F84614"/>
    <w:rsid w:val="00F92243"/>
    <w:rsid w:val="00FA184F"/>
    <w:rsid w:val="00FA7609"/>
    <w:rsid w:val="00FB2863"/>
    <w:rsid w:val="00FB3BD2"/>
    <w:rsid w:val="00FC6682"/>
    <w:rsid w:val="00FC73AC"/>
    <w:rsid w:val="00FD4E7D"/>
    <w:rsid w:val="00FD67E4"/>
    <w:rsid w:val="01F20769"/>
    <w:rsid w:val="04490B99"/>
    <w:rsid w:val="04F1044D"/>
    <w:rsid w:val="051424F4"/>
    <w:rsid w:val="06A27BA8"/>
    <w:rsid w:val="07F77850"/>
    <w:rsid w:val="08476E93"/>
    <w:rsid w:val="085F6E40"/>
    <w:rsid w:val="08DC5D03"/>
    <w:rsid w:val="09FB3635"/>
    <w:rsid w:val="0E8B385F"/>
    <w:rsid w:val="1048665C"/>
    <w:rsid w:val="106935F6"/>
    <w:rsid w:val="129D0D08"/>
    <w:rsid w:val="14C07850"/>
    <w:rsid w:val="180E681D"/>
    <w:rsid w:val="192555DC"/>
    <w:rsid w:val="19897A54"/>
    <w:rsid w:val="1B547D74"/>
    <w:rsid w:val="1CB30629"/>
    <w:rsid w:val="22996DB0"/>
    <w:rsid w:val="25B674C2"/>
    <w:rsid w:val="285020D2"/>
    <w:rsid w:val="289363E0"/>
    <w:rsid w:val="28F2371C"/>
    <w:rsid w:val="2D6910C7"/>
    <w:rsid w:val="33586302"/>
    <w:rsid w:val="35507504"/>
    <w:rsid w:val="35BC2B43"/>
    <w:rsid w:val="36851584"/>
    <w:rsid w:val="3C225EB8"/>
    <w:rsid w:val="3EF648FB"/>
    <w:rsid w:val="42612840"/>
    <w:rsid w:val="43173095"/>
    <w:rsid w:val="4B08644D"/>
    <w:rsid w:val="4C102F58"/>
    <w:rsid w:val="4F6A04E1"/>
    <w:rsid w:val="519123C3"/>
    <w:rsid w:val="51AF264D"/>
    <w:rsid w:val="53343900"/>
    <w:rsid w:val="55320183"/>
    <w:rsid w:val="57E07722"/>
    <w:rsid w:val="57E64A12"/>
    <w:rsid w:val="5B050ECA"/>
    <w:rsid w:val="5EC74945"/>
    <w:rsid w:val="611C08B9"/>
    <w:rsid w:val="69264691"/>
    <w:rsid w:val="6AA72924"/>
    <w:rsid w:val="70325BC9"/>
    <w:rsid w:val="753C1106"/>
    <w:rsid w:val="75BD2EEF"/>
    <w:rsid w:val="75EA1895"/>
    <w:rsid w:val="782878CE"/>
    <w:rsid w:val="7D52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5"/>
    <w:semiHidden/>
    <w:unhideWhenUsed/>
    <w:qFormat/>
    <w:uiPriority w:val="99"/>
    <w:pPr>
      <w:jc w:val="left"/>
    </w:pPr>
  </w:style>
  <w:style w:type="paragraph" w:styleId="6">
    <w:name w:val="Body Text"/>
    <w:basedOn w:val="1"/>
    <w:link w:val="40"/>
    <w:qFormat/>
    <w:uiPriority w:val="0"/>
    <w:pPr>
      <w:spacing w:after="120"/>
    </w:pPr>
    <w:rPr>
      <w:rFonts w:ascii="Times New Roman" w:hAnsi="Times New Roman" w:eastAsia="宋体" w:cs="Times New Roman"/>
      <w:sz w:val="32"/>
      <w:szCs w:val="24"/>
    </w:rPr>
  </w:style>
  <w:style w:type="paragraph" w:styleId="7">
    <w:name w:val="toc 3"/>
    <w:basedOn w:val="1"/>
    <w:next w:val="1"/>
    <w:unhideWhenUsed/>
    <w:qFormat/>
    <w:uiPriority w:val="39"/>
    <w:pPr>
      <w:ind w:left="840" w:leftChars="400"/>
    </w:pPr>
  </w:style>
  <w:style w:type="paragraph" w:styleId="8">
    <w:name w:val="Balloon Text"/>
    <w:basedOn w:val="1"/>
    <w:link w:val="32"/>
    <w:semiHidden/>
    <w:unhideWhenUsed/>
    <w:qFormat/>
    <w:uiPriority w:val="99"/>
    <w:rPr>
      <w:sz w:val="18"/>
      <w:szCs w:val="18"/>
    </w:rPr>
  </w:style>
  <w:style w:type="paragraph" w:styleId="9">
    <w:name w:val="footer"/>
    <w:basedOn w:val="1"/>
    <w:link w:val="28"/>
    <w:unhideWhenUsed/>
    <w:qFormat/>
    <w:uiPriority w:val="99"/>
    <w:pPr>
      <w:tabs>
        <w:tab w:val="center" w:pos="4153"/>
        <w:tab w:val="right" w:pos="8306"/>
      </w:tabs>
      <w:snapToGrid w:val="0"/>
      <w:jc w:val="left"/>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qFormat/>
    <w:uiPriority w:val="10"/>
    <w:pPr>
      <w:spacing w:before="240" w:after="60"/>
      <w:jc w:val="center"/>
      <w:outlineLvl w:val="0"/>
    </w:pPr>
    <w:rPr>
      <w:rFonts w:ascii="等线 Light" w:hAnsi="等线 Light" w:eastAsia="方正小标宋简体"/>
      <w:b/>
      <w:bCs/>
      <w:sz w:val="44"/>
      <w:szCs w:val="32"/>
    </w:rPr>
  </w:style>
  <w:style w:type="paragraph" w:styleId="15">
    <w:name w:val="annotation subject"/>
    <w:basedOn w:val="5"/>
    <w:next w:val="5"/>
    <w:link w:val="36"/>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Emphasis"/>
    <w:basedOn w:val="18"/>
    <w:qFormat/>
    <w:uiPriority w:val="20"/>
    <w:rPr>
      <w:i/>
      <w:iCs/>
    </w:rPr>
  </w:style>
  <w:style w:type="character" w:styleId="21">
    <w:name w:val="Hyperlink"/>
    <w:basedOn w:val="18"/>
    <w:unhideWhenUsed/>
    <w:qFormat/>
    <w:uiPriority w:val="99"/>
    <w:rPr>
      <w:color w:val="0000FF"/>
      <w:u w:val="single"/>
    </w:rPr>
  </w:style>
  <w:style w:type="character" w:styleId="22">
    <w:name w:val="annotation reference"/>
    <w:basedOn w:val="18"/>
    <w:semiHidden/>
    <w:unhideWhenUsed/>
    <w:qFormat/>
    <w:uiPriority w:val="99"/>
    <w:rPr>
      <w:sz w:val="21"/>
      <w:szCs w:val="21"/>
    </w:rPr>
  </w:style>
  <w:style w:type="paragraph" w:customStyle="1" w:styleId="23">
    <w:name w:val="正文缩进1"/>
    <w:basedOn w:val="1"/>
    <w:qFormat/>
    <w:uiPriority w:val="0"/>
    <w:pPr>
      <w:ind w:firstLine="420"/>
    </w:pPr>
    <w:rPr>
      <w:rFonts w:eastAsia="华文仿宋"/>
    </w:rPr>
  </w:style>
  <w:style w:type="character" w:customStyle="1" w:styleId="24">
    <w:name w:val="标题 1 Char"/>
    <w:basedOn w:val="18"/>
    <w:link w:val="2"/>
    <w:qFormat/>
    <w:uiPriority w:val="9"/>
    <w:rPr>
      <w:b/>
      <w:bCs/>
      <w:kern w:val="44"/>
      <w:sz w:val="44"/>
      <w:szCs w:val="44"/>
    </w:rPr>
  </w:style>
  <w:style w:type="paragraph" w:styleId="25">
    <w:name w:val="List Paragraph"/>
    <w:basedOn w:val="1"/>
    <w:qFormat/>
    <w:uiPriority w:val="34"/>
    <w:pPr>
      <w:ind w:firstLine="420" w:firstLineChars="200"/>
    </w:pPr>
  </w:style>
  <w:style w:type="character" w:customStyle="1" w:styleId="26">
    <w:name w:val="标题 2 Char"/>
    <w:basedOn w:val="18"/>
    <w:link w:val="3"/>
    <w:qFormat/>
    <w:uiPriority w:val="9"/>
    <w:rPr>
      <w:rFonts w:asciiTheme="majorHAnsi" w:hAnsiTheme="majorHAnsi" w:eastAsiaTheme="majorEastAsia" w:cstheme="majorBidi"/>
      <w:b/>
      <w:bCs/>
      <w:sz w:val="32"/>
      <w:szCs w:val="32"/>
    </w:rPr>
  </w:style>
  <w:style w:type="character" w:customStyle="1" w:styleId="27">
    <w:name w:val="页眉 Char"/>
    <w:basedOn w:val="18"/>
    <w:link w:val="10"/>
    <w:qFormat/>
    <w:uiPriority w:val="99"/>
    <w:rPr>
      <w:sz w:val="18"/>
      <w:szCs w:val="18"/>
    </w:rPr>
  </w:style>
  <w:style w:type="character" w:customStyle="1" w:styleId="28">
    <w:name w:val="页脚 Char"/>
    <w:basedOn w:val="18"/>
    <w:link w:val="9"/>
    <w:qFormat/>
    <w:uiPriority w:val="99"/>
    <w:rPr>
      <w:sz w:val="18"/>
      <w:szCs w:val="18"/>
    </w:rPr>
  </w:style>
  <w:style w:type="paragraph" w:customStyle="1" w:styleId="29">
    <w:name w:val="正文—三号"/>
    <w:basedOn w:val="1"/>
    <w:qFormat/>
    <w:uiPriority w:val="0"/>
    <w:pPr>
      <w:spacing w:line="560" w:lineRule="exact"/>
      <w:ind w:firstLine="198" w:firstLineChars="198"/>
    </w:pPr>
    <w:rPr>
      <w:rFonts w:ascii="仿宋" w:hAnsi="Times New Roman" w:eastAsia="仿宋" w:cs="仿宋"/>
      <w:sz w:val="32"/>
      <w:szCs w:val="32"/>
    </w:rPr>
  </w:style>
  <w:style w:type="paragraph" w:customStyle="1" w:styleId="30">
    <w:name w:val="p0"/>
    <w:basedOn w:val="1"/>
    <w:qFormat/>
    <w:uiPriority w:val="0"/>
    <w:pPr>
      <w:widowControl/>
    </w:pPr>
    <w:rPr>
      <w:rFonts w:ascii="Calibri" w:hAnsi="Calibri" w:eastAsia="宋体" w:cs="Calibri"/>
      <w:kern w:val="0"/>
      <w:szCs w:val="21"/>
    </w:rPr>
  </w:style>
  <w:style w:type="paragraph" w:customStyle="1" w:styleId="31">
    <w:name w:val="列出段落1"/>
    <w:basedOn w:val="1"/>
    <w:qFormat/>
    <w:uiPriority w:val="34"/>
    <w:pPr>
      <w:ind w:firstLine="420" w:firstLineChars="200"/>
    </w:pPr>
    <w:rPr>
      <w:rFonts w:ascii="Times New Roman" w:hAnsi="Times New Roman" w:eastAsia="仿宋_GB2312" w:cs="黑体"/>
      <w:sz w:val="32"/>
    </w:rPr>
  </w:style>
  <w:style w:type="character" w:customStyle="1" w:styleId="32">
    <w:name w:val="批注框文本 Char"/>
    <w:basedOn w:val="18"/>
    <w:link w:val="8"/>
    <w:semiHidden/>
    <w:qFormat/>
    <w:uiPriority w:val="99"/>
    <w:rPr>
      <w:sz w:val="18"/>
      <w:szCs w:val="18"/>
    </w:rPr>
  </w:style>
  <w:style w:type="character" w:customStyle="1" w:styleId="33">
    <w:name w:val="标题 3 Char"/>
    <w:basedOn w:val="18"/>
    <w:link w:val="4"/>
    <w:qFormat/>
    <w:uiPriority w:val="9"/>
    <w:rPr>
      <w:b/>
      <w:bCs/>
      <w:sz w:val="32"/>
      <w:szCs w:val="32"/>
    </w:rPr>
  </w:style>
  <w:style w:type="paragraph" w:customStyle="1" w:styleId="34">
    <w:name w:val="Char"/>
    <w:basedOn w:val="1"/>
    <w:qFormat/>
    <w:uiPriority w:val="0"/>
    <w:pPr>
      <w:snapToGrid w:val="0"/>
    </w:pPr>
    <w:rPr>
      <w:rFonts w:ascii="Calibri" w:hAnsi="Calibri" w:eastAsia="仿宋_GB2312" w:cs="Times New Roman"/>
      <w:sz w:val="32"/>
      <w:szCs w:val="21"/>
    </w:rPr>
  </w:style>
  <w:style w:type="character" w:customStyle="1" w:styleId="35">
    <w:name w:val="批注文字 Char"/>
    <w:basedOn w:val="18"/>
    <w:link w:val="5"/>
    <w:semiHidden/>
    <w:qFormat/>
    <w:uiPriority w:val="99"/>
  </w:style>
  <w:style w:type="character" w:customStyle="1" w:styleId="36">
    <w:name w:val="批注主题 Char"/>
    <w:basedOn w:val="35"/>
    <w:link w:val="15"/>
    <w:semiHidden/>
    <w:qFormat/>
    <w:uiPriority w:val="99"/>
    <w:rPr>
      <w:b/>
      <w:bCs/>
    </w:rPr>
  </w:style>
  <w:style w:type="paragraph" w:customStyle="1" w:styleId="3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8">
    <w:name w:val="WPSOffice手动目录 1"/>
    <w:qFormat/>
    <w:uiPriority w:val="0"/>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40">
    <w:name w:val="正文文本 Char"/>
    <w:basedOn w:val="18"/>
    <w:link w:val="6"/>
    <w:qFormat/>
    <w:uiPriority w:val="0"/>
    <w:rPr>
      <w:rFonts w:ascii="Times New Roman" w:hAnsi="Times New Roman" w:eastAsia="宋体" w:cs="Times New Roman"/>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39E26-97D1-4754-B332-18F2EE49F7CC}">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59</Pages>
  <Words>4243</Words>
  <Characters>24188</Characters>
  <Lines>201</Lines>
  <Paragraphs>56</Paragraphs>
  <TotalTime>39</TotalTime>
  <ScaleCrop>false</ScaleCrop>
  <LinksUpToDate>false</LinksUpToDate>
  <CharactersWithSpaces>28375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2021-11-19T09:00:00Z</dcterms:created>
  <dc:creator>hp</dc:creator>
  <cp:lastModifiedBy>红红火火</cp:lastModifiedBy>
  <dcterms:modified xsi:type="dcterms:W3CDTF">2021-11-22T02:12:14Z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3D996E1B1D70489E99170361A7D8DFF2</vt:lpwstr>
  </property>
</Properties>
</file>