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简体" w:hAnsi="黑体" w:eastAsia="方正小标宋简体" w:cs="黑体"/>
          <w:sz w:val="44"/>
          <w:szCs w:val="44"/>
        </w:rPr>
      </w:pPr>
      <w:bookmarkStart w:id="0" w:name="_Toc25628"/>
    </w:p>
    <w:p>
      <w:pPr>
        <w:ind w:firstLine="0" w:firstLineChars="0"/>
        <w:jc w:val="center"/>
        <w:rPr>
          <w:rFonts w:hint="default" w:ascii="方正小标宋简体" w:eastAsia="方正小标宋简体"/>
        </w:rPr>
      </w:pPr>
      <w:r>
        <w:rPr>
          <w:rFonts w:hint="eastAsia" w:ascii="方正小标宋简体" w:eastAsia="方正小标宋简体" w:cs="方正小标宋简体" w:hAnsiTheme="minorEastAsia"/>
          <w:sz w:val="44"/>
          <w:szCs w:val="44"/>
        </w:rPr>
        <w:t>郑州市电动汽车充电基础设施发展规划（2023-2035年）</w:t>
      </w:r>
      <w:r>
        <w:rPr>
          <w:rFonts w:hint="default" w:ascii="方正小标宋简体" w:eastAsia="方正小标宋简体" w:cs="方正小标宋简体" w:hAnsiTheme="minorEastAsia"/>
          <w:sz w:val="44"/>
          <w:szCs w:val="44"/>
        </w:rPr>
        <w:t>（征求意见稿）</w:t>
      </w:r>
    </w:p>
    <w:p>
      <w:pPr>
        <w:ind w:firstLine="640"/>
      </w:pPr>
    </w:p>
    <w:p>
      <w:pPr>
        <w:ind w:firstLine="640"/>
      </w:pPr>
      <w:r>
        <w:rPr>
          <w:rFonts w:hint="eastAsia"/>
        </w:rPr>
        <w:t>为全面贯彻落实党中央、国务院关于加快新型基础设施建设的决策部署，加快推进我市电动汽车充电基础设施建设，支撑郑州国家中心城市建设，根据《国务院办公厅关于印发新能源汽车产业发展规划（2021-2035年）的通知》（国办发〔2020〕39号）、《国家发展改革委等部门关于进一步提升电动汽车充电基础设施服务保障能力的实施意见》（发改能源规〔2022〕53号）和《河南省人民政府办公厅关于印发河南省加快电动汽车充电基础设施建设若干政策的通知》（豫政办〔2020〕30号）等文件精神，结合我市实际，编制本规划。</w:t>
      </w:r>
    </w:p>
    <w:p>
      <w:pPr>
        <w:pStyle w:val="2"/>
        <w:spacing w:after="0" w:afterLines="0"/>
      </w:pPr>
      <w:r>
        <w:rPr>
          <w:rFonts w:hint="eastAsia"/>
        </w:rPr>
        <w:t>第一章 总 则</w:t>
      </w:r>
      <w:bookmarkEnd w:id="0"/>
    </w:p>
    <w:p>
      <w:pPr>
        <w:pStyle w:val="3"/>
        <w:ind w:firstLine="640"/>
      </w:pPr>
      <w:bookmarkStart w:id="1" w:name="_Toc3310"/>
      <w:r>
        <w:rPr>
          <w:rFonts w:hint="eastAsia"/>
        </w:rPr>
        <w:t>一、编制目的</w:t>
      </w:r>
      <w:bookmarkEnd w:id="1"/>
    </w:p>
    <w:p>
      <w:pPr>
        <w:ind w:firstLine="640"/>
      </w:pPr>
      <w:r>
        <w:rPr>
          <w:rFonts w:hint="eastAsia"/>
        </w:rPr>
        <w:t>新能源汽车充换电设施是党中央、国务院加快新型基础设施建设的重要组成部分，是落实国家新能源战略，助力实现双碳目标，推动新能源汽车向电动化、网联化、智能化、数字化、绿色化融合发展的重要保障。《郑州市“十四五”战略性新兴产业发展总体规划（2021—2025年）》（郑政〔2022〕10号）明确提出，要加快完善充换电、加氢站等基础设施建设，推动商业模式创新、扩大推广示范应用领域的要求。在政策与经济、能源与环境的双轮推动下，郑州市新能源汽车将加速实现规模化发展，对充换电设施的规模和布局提出了更高要求。</w:t>
      </w:r>
    </w:p>
    <w:p>
      <w:pPr>
        <w:pStyle w:val="3"/>
        <w:ind w:firstLine="640"/>
      </w:pPr>
      <w:bookmarkStart w:id="2" w:name="_Toc2149"/>
      <w:r>
        <w:rPr>
          <w:rFonts w:hint="eastAsia"/>
        </w:rPr>
        <w:t>二、规划范围和年限</w:t>
      </w:r>
      <w:bookmarkEnd w:id="2"/>
    </w:p>
    <w:p>
      <w:pPr>
        <w:ind w:firstLine="640"/>
      </w:pPr>
      <w:r>
        <w:rPr>
          <w:rFonts w:hint="eastAsia"/>
        </w:rPr>
        <w:t>规划范围：郑州市主城区、航空港区及上街区、巩义市、新郑市、登封市、荥阳市、新密市、中牟县。</w:t>
      </w:r>
    </w:p>
    <w:p>
      <w:pPr>
        <w:ind w:firstLine="640"/>
      </w:pPr>
      <w:r>
        <w:rPr>
          <w:rFonts w:hint="eastAsia"/>
        </w:rPr>
        <w:t>规划年限：近期目标2025年，远景目标2035年。</w:t>
      </w:r>
    </w:p>
    <w:p>
      <w:pPr>
        <w:pStyle w:val="3"/>
        <w:ind w:firstLine="640"/>
      </w:pPr>
      <w:bookmarkStart w:id="3" w:name="_Toc28331"/>
      <w:r>
        <w:rPr>
          <w:rFonts w:hint="eastAsia"/>
        </w:rPr>
        <w:t>三、编制依据</w:t>
      </w:r>
      <w:bookmarkEnd w:id="3"/>
    </w:p>
    <w:p>
      <w:pPr>
        <w:pStyle w:val="4"/>
        <w:ind w:firstLine="640"/>
      </w:pPr>
      <w:bookmarkStart w:id="4" w:name="_Toc30186"/>
      <w:bookmarkStart w:id="5" w:name="_Toc17028"/>
      <w:bookmarkStart w:id="6" w:name="_Toc10725"/>
      <w:bookmarkStart w:id="7" w:name="_Toc6940"/>
      <w:r>
        <w:rPr>
          <w:rFonts w:hint="eastAsia"/>
        </w:rPr>
        <w:t>（一）法律法规文件</w:t>
      </w:r>
      <w:bookmarkEnd w:id="4"/>
      <w:bookmarkEnd w:id="5"/>
      <w:bookmarkEnd w:id="6"/>
      <w:bookmarkEnd w:id="7"/>
    </w:p>
    <w:p>
      <w:pPr>
        <w:ind w:firstLine="640"/>
      </w:pPr>
      <w:r>
        <w:t xml:space="preserve">（1）《中华人民共和国城乡规划法》（2019 年修订）； </w:t>
      </w:r>
    </w:p>
    <w:p>
      <w:pPr>
        <w:ind w:firstLine="640"/>
      </w:pPr>
      <w:r>
        <w:rPr>
          <w:rFonts w:hint="eastAsia"/>
        </w:rPr>
        <w:t xml:space="preserve">（2）《城市规划编制办法》（建设部令第 146 号）； </w:t>
      </w:r>
    </w:p>
    <w:p>
      <w:pPr>
        <w:ind w:firstLine="640"/>
      </w:pPr>
      <w:r>
        <w:rPr>
          <w:rFonts w:hint="eastAsia"/>
        </w:rPr>
        <w:t xml:space="preserve">（3）《中华人民共和国土地管理法》（2019 年 8 月）； </w:t>
      </w:r>
    </w:p>
    <w:p>
      <w:pPr>
        <w:ind w:firstLine="640"/>
      </w:pPr>
      <w:r>
        <w:rPr>
          <w:rFonts w:hint="eastAsia"/>
        </w:rPr>
        <w:t>（4）《中华人民共和国环境保护法》（2015 年 1 月）。</w:t>
      </w:r>
    </w:p>
    <w:p>
      <w:pPr>
        <w:pStyle w:val="4"/>
        <w:ind w:firstLine="640"/>
      </w:pPr>
      <w:bookmarkStart w:id="8" w:name="_Toc25777"/>
      <w:bookmarkStart w:id="9" w:name="_Toc16616"/>
      <w:bookmarkStart w:id="10" w:name="_Toc12504"/>
      <w:bookmarkStart w:id="11" w:name="_Toc14409"/>
      <w:r>
        <w:rPr>
          <w:rFonts w:hint="eastAsia"/>
        </w:rPr>
        <w:t>（二）政策规划文件</w:t>
      </w:r>
      <w:bookmarkEnd w:id="8"/>
      <w:bookmarkEnd w:id="9"/>
      <w:bookmarkEnd w:id="10"/>
      <w:bookmarkEnd w:id="11"/>
    </w:p>
    <w:p>
      <w:pPr>
        <w:ind w:firstLine="640"/>
      </w:pPr>
      <w:r>
        <w:rPr>
          <w:rFonts w:hint="eastAsia"/>
        </w:rPr>
        <w:t>（1）《</w:t>
      </w:r>
      <w:r>
        <w:rPr>
          <w:rFonts w:hint="default"/>
        </w:rPr>
        <w:t>中华</w:t>
      </w:r>
      <w:bookmarkStart w:id="189" w:name="_GoBack"/>
      <w:bookmarkEnd w:id="189"/>
      <w:r>
        <w:rPr>
          <w:rFonts w:hint="eastAsia"/>
        </w:rPr>
        <w:t>人民共和国国民经济和社会发展第十四个五年规划和二〇三五年远景目标纲要》；</w:t>
      </w:r>
    </w:p>
    <w:p>
      <w:pPr>
        <w:ind w:firstLine="640"/>
      </w:pPr>
      <w:r>
        <w:rPr>
          <w:rFonts w:hint="eastAsia"/>
        </w:rPr>
        <w:t>（2）《新能源汽车产业发展规划（2021-2035 年）》（国办发〔2020〕39 号）；</w:t>
      </w:r>
    </w:p>
    <w:p>
      <w:pPr>
        <w:ind w:firstLine="640"/>
      </w:pPr>
      <w:r>
        <w:rPr>
          <w:rFonts w:hint="eastAsia"/>
        </w:rPr>
        <w:t>（3）《关于进一步提升电动汽车充电基础设施服务保障能力的实施意见》（发改能源规〔2022〕53 号）；</w:t>
      </w:r>
    </w:p>
    <w:p>
      <w:pPr>
        <w:ind w:firstLine="640"/>
      </w:pPr>
      <w:r>
        <w:rPr>
          <w:rFonts w:hint="eastAsia"/>
        </w:rPr>
        <w:t>（4）《国务院办公厅关于进一步构建高质量充电基础设施体系的指导意见》（国办发〔2023〕19号）；</w:t>
      </w:r>
    </w:p>
    <w:p>
      <w:pPr>
        <w:ind w:firstLine="640"/>
      </w:pPr>
      <w:r>
        <w:rPr>
          <w:rFonts w:hint="eastAsia"/>
        </w:rPr>
        <w:t>（5）《关于加快推进充电基础设施建设 更好支持新能源汽车下乡和乡村振兴的实施意见》（发改综合〔2023〕545号）；</w:t>
      </w:r>
    </w:p>
    <w:p>
      <w:pPr>
        <w:ind w:firstLine="640"/>
      </w:pPr>
      <w:r>
        <w:rPr>
          <w:rFonts w:hint="eastAsia"/>
        </w:rPr>
        <w:t>（6）《河南省国民经济和社会发展第十四个五年规划和二〇三五年远景目标纲要》（豫政〔2021〕13号）；</w:t>
      </w:r>
    </w:p>
    <w:p>
      <w:pPr>
        <w:ind w:firstLine="640"/>
      </w:pPr>
      <w:r>
        <w:rPr>
          <w:rFonts w:hint="eastAsia"/>
        </w:rPr>
        <w:t>（7）《河南省人民政府办公厅关于进一步加快新能源汽车产业发展的指导意见》（豫政办〔2022〕45号）；</w:t>
      </w:r>
    </w:p>
    <w:p>
      <w:pPr>
        <w:ind w:firstLine="640"/>
      </w:pPr>
      <w:r>
        <w:rPr>
          <w:rFonts w:hint="eastAsia"/>
        </w:rPr>
        <w:t>（8）《河南省人民政府办公厅关于印发河南省加快电动汽车充电基础设施建设若干政策的通知》（豫政办〔2020〕30号）；</w:t>
      </w:r>
    </w:p>
    <w:p>
      <w:pPr>
        <w:ind w:firstLine="640"/>
      </w:pPr>
      <w:r>
        <w:rPr>
          <w:rFonts w:hint="eastAsia"/>
        </w:rPr>
        <w:t>（9）《河南省既有停车位建设电动汽车充电设施实施办法（试行）》（豫建行规〔2020〕6号）；</w:t>
      </w:r>
    </w:p>
    <w:p>
      <w:pPr>
        <w:ind w:firstLine="640"/>
      </w:pPr>
      <w:r>
        <w:rPr>
          <w:rFonts w:hint="eastAsia"/>
        </w:rPr>
        <w:t>（10）《河南省加快推进公路沿线充电基础设施建设行动实施方案》（豫交文〔2022〕136号）；</w:t>
      </w:r>
    </w:p>
    <w:p>
      <w:pPr>
        <w:ind w:firstLine="640"/>
      </w:pPr>
      <w:r>
        <w:rPr>
          <w:rFonts w:hint="eastAsia"/>
        </w:rPr>
        <w:t>（11）《郑州市国民经济和社会发展第十四个五年规划和二〇三五年远景目标纲要》（郑政〔2021〕12号）；</w:t>
      </w:r>
    </w:p>
    <w:p>
      <w:pPr>
        <w:ind w:firstLine="640"/>
      </w:pPr>
      <w:r>
        <w:rPr>
          <w:rFonts w:hint="eastAsia"/>
        </w:rPr>
        <w:t>（12）《郑州市“十四五”战略性新兴产业发展总体规划（2021—2025年）》（郑政〔2022〕10号）；</w:t>
      </w:r>
    </w:p>
    <w:p>
      <w:pPr>
        <w:ind w:firstLine="640"/>
      </w:pPr>
      <w:r>
        <w:rPr>
          <w:rFonts w:hint="eastAsia"/>
        </w:rPr>
        <w:t>（13）《郑州市“十四五”现代能源体系规划》（郑政〔2022〕31号）。</w:t>
      </w:r>
    </w:p>
    <w:p>
      <w:pPr>
        <w:pStyle w:val="4"/>
        <w:ind w:firstLine="640"/>
      </w:pPr>
      <w:bookmarkStart w:id="12" w:name="_Toc28189"/>
      <w:bookmarkStart w:id="13" w:name="_Toc26067"/>
      <w:bookmarkStart w:id="14" w:name="_Toc13685"/>
      <w:bookmarkStart w:id="15" w:name="_Toc11790"/>
      <w:r>
        <w:rPr>
          <w:rFonts w:hint="eastAsia"/>
        </w:rPr>
        <w:t>（三）相关技术标准</w:t>
      </w:r>
      <w:bookmarkEnd w:id="12"/>
      <w:bookmarkEnd w:id="13"/>
      <w:bookmarkEnd w:id="14"/>
      <w:bookmarkEnd w:id="15"/>
    </w:p>
    <w:p>
      <w:pPr>
        <w:ind w:firstLine="640"/>
      </w:pPr>
      <w:r>
        <w:rPr>
          <w:rFonts w:hint="eastAsia"/>
        </w:rPr>
        <w:t>（1）GB 50966-2014 电动汽车充电站设计规范；</w:t>
      </w:r>
    </w:p>
    <w:p>
      <w:pPr>
        <w:ind w:firstLine="640"/>
      </w:pPr>
      <w:r>
        <w:rPr>
          <w:rFonts w:hint="eastAsia"/>
        </w:rPr>
        <w:t>（2）GB 50220-95 城市道路交通规划设计规范；</w:t>
      </w:r>
    </w:p>
    <w:p>
      <w:pPr>
        <w:ind w:firstLine="640"/>
      </w:pPr>
      <w:r>
        <w:rPr>
          <w:rFonts w:hint="eastAsia"/>
        </w:rPr>
        <w:t>（3）GB/T 29781-2013 电动汽车充电站通用需求；</w:t>
      </w:r>
    </w:p>
    <w:p>
      <w:pPr>
        <w:ind w:firstLine="640"/>
      </w:pPr>
      <w:r>
        <w:rPr>
          <w:rFonts w:hint="eastAsia"/>
        </w:rPr>
        <w:t>（4）GB 50168 电气装置安装工程电缆线路施工及验收标准；</w:t>
      </w:r>
    </w:p>
    <w:p>
      <w:pPr>
        <w:ind w:firstLine="640"/>
      </w:pPr>
      <w:r>
        <w:rPr>
          <w:rFonts w:hint="eastAsia"/>
        </w:rPr>
        <w:t>（5）GB 50268 给水排水管道工程施工及验收规范；</w:t>
      </w:r>
    </w:p>
    <w:p>
      <w:pPr>
        <w:ind w:left="640" w:leftChars="200" w:firstLine="0" w:firstLineChars="0"/>
      </w:pPr>
      <w:r>
        <w:rPr>
          <w:rFonts w:hint="eastAsia"/>
        </w:rPr>
        <w:t>（6）GB 50312 综合布线工程验收规范；</w:t>
      </w:r>
    </w:p>
    <w:p>
      <w:pPr>
        <w:ind w:firstLine="640"/>
      </w:pPr>
      <w:r>
        <w:rPr>
          <w:rFonts w:hint="eastAsia"/>
        </w:rPr>
        <w:t>（7）DBJ 41T179-2020 民用建筑电动汽车充电设施配套建设技术标准。</w:t>
      </w:r>
    </w:p>
    <w:p>
      <w:pPr>
        <w:pStyle w:val="2"/>
        <w:spacing w:after="0" w:afterLines="0"/>
      </w:pPr>
      <w:bookmarkStart w:id="16" w:name="_Toc27342"/>
      <w:r>
        <w:rPr>
          <w:rFonts w:hint="eastAsia"/>
        </w:rPr>
        <w:t>第二章 现状分析</w:t>
      </w:r>
      <w:bookmarkEnd w:id="16"/>
    </w:p>
    <w:p>
      <w:pPr>
        <w:pStyle w:val="3"/>
        <w:ind w:firstLine="640"/>
      </w:pPr>
      <w:bookmarkStart w:id="17" w:name="_Toc12161"/>
      <w:bookmarkStart w:id="18" w:name="_Toc21665"/>
      <w:r>
        <w:rPr>
          <w:rFonts w:hint="eastAsia"/>
        </w:rPr>
        <w:t>一、充电设施现状</w:t>
      </w:r>
      <w:bookmarkEnd w:id="17"/>
    </w:p>
    <w:p>
      <w:pPr>
        <w:pStyle w:val="4"/>
        <w:ind w:firstLine="640"/>
      </w:pPr>
      <w:bookmarkStart w:id="19" w:name="_Toc6662"/>
      <w:bookmarkStart w:id="20" w:name="_Toc13281"/>
      <w:bookmarkStart w:id="21" w:name="_Toc8456"/>
      <w:bookmarkStart w:id="22" w:name="_Toc20875"/>
      <w:r>
        <w:rPr>
          <w:rFonts w:hint="eastAsia"/>
        </w:rPr>
        <w:t>（一）新能源汽车推广</w:t>
      </w:r>
      <w:bookmarkEnd w:id="18"/>
      <w:bookmarkEnd w:id="19"/>
      <w:bookmarkEnd w:id="20"/>
      <w:bookmarkEnd w:id="21"/>
      <w:bookmarkEnd w:id="22"/>
      <w:r>
        <w:rPr>
          <w:rFonts w:hint="eastAsia"/>
        </w:rPr>
        <w:t>情况</w:t>
      </w:r>
    </w:p>
    <w:p>
      <w:pPr>
        <w:ind w:firstLine="640"/>
      </w:pPr>
      <w:r>
        <w:rPr>
          <w:rFonts w:hint="eastAsia"/>
        </w:rPr>
        <w:t>截至2022年底，郑州市汽车保有量为533万辆，新能源汽车保有量约25.6万辆，新能源汽车保有量占比4.8%。对比2015年新能源汽车保有量0.6万辆，年均增长率达到70%。新能源汽车保有量中，市区公交车约6700辆（其中纯电动车4045辆），巡游出租车约11800辆，网约车约18500辆，中大型环卫车约1150辆，电动混凝土车约1570辆，公务车约160辆，私人车及其他车辆约21万辆。在公共领域车辆中，市区公交车和巡游出租车电动化推广最快，新能源车普及率已达100%。</w:t>
      </w:r>
    </w:p>
    <w:p>
      <w:pPr>
        <w:pStyle w:val="4"/>
        <w:ind w:firstLine="640"/>
      </w:pPr>
      <w:bookmarkStart w:id="23" w:name="_Toc17085"/>
      <w:bookmarkStart w:id="24" w:name="_Toc13769"/>
      <w:bookmarkStart w:id="25" w:name="_Toc25528"/>
      <w:bookmarkStart w:id="26" w:name="_Toc16438"/>
      <w:r>
        <w:rPr>
          <w:rFonts w:hint="eastAsia"/>
        </w:rPr>
        <w:t>（二）公共充换电网络</w:t>
      </w:r>
      <w:bookmarkEnd w:id="23"/>
      <w:bookmarkEnd w:id="24"/>
      <w:bookmarkEnd w:id="25"/>
      <w:bookmarkEnd w:id="26"/>
      <w:r>
        <w:rPr>
          <w:rFonts w:hint="eastAsia"/>
        </w:rPr>
        <w:t>建设情况</w:t>
      </w:r>
    </w:p>
    <w:p>
      <w:pPr>
        <w:ind w:firstLine="640"/>
      </w:pPr>
      <w:r>
        <w:rPr>
          <w:rFonts w:hint="eastAsia"/>
        </w:rPr>
        <w:t>郑州市基本形成布局全面、车桩协同发展的充换电服务网络。在商业服务、交通枢纽、公共停车场、物流工业园区、居民区、景区、高速服务区等领域，已建成公专用充电设施约2.5万个。在行政区域分布上，</w:t>
      </w:r>
      <w:r>
        <w:t>6</w:t>
      </w:r>
      <w:r>
        <w:rPr>
          <w:rFonts w:hint="eastAsia"/>
        </w:rPr>
        <w:t>9</w:t>
      </w:r>
      <w:r>
        <w:t>%</w:t>
      </w:r>
      <w:r>
        <w:rPr>
          <w:rFonts w:hint="eastAsia"/>
        </w:rPr>
        <w:t>的充电设施</w:t>
      </w:r>
      <w:r>
        <w:t>分布在主城区，3</w:t>
      </w:r>
      <w:r>
        <w:rPr>
          <w:rFonts w:hint="eastAsia"/>
        </w:rPr>
        <w:t>1</w:t>
      </w:r>
      <w:r>
        <w:t>%</w:t>
      </w:r>
      <w:r>
        <w:rPr>
          <w:rFonts w:hint="eastAsia"/>
        </w:rPr>
        <w:t>的充电设施</w:t>
      </w:r>
      <w:r>
        <w:t>分布在周边区县（市）</w:t>
      </w:r>
      <w:r>
        <w:rPr>
          <w:rFonts w:hint="eastAsia"/>
        </w:rPr>
        <w:t>，其中，郑东新区（16%）、中原区（10%）、二七区（10%）排名前三，集中了全市36%的充电设施。全市总面积7567平方公里，市区建成面积1342.11平方公里，中心城区建成区面积744.15平方公里。中心城区公用充电设施建设密度为25个/ km²，基本满足新能源汽车充电需求。</w:t>
      </w:r>
    </w:p>
    <w:p>
      <w:pPr>
        <w:ind w:firstLine="640"/>
      </w:pPr>
      <w:r>
        <w:rPr>
          <w:rFonts w:hint="eastAsia"/>
        </w:rPr>
        <w:t>在重点场所分布上，高速服务区建成充换电站28座，基本实现高速公路服务全覆盖；公交车专用充电站72座，充电设施约2500个，车桩比达到1.6:1，基本满足郑州市4045辆纯电动公交车运行补能需求；党政机关、事业单位内部具备安装条件的停车位约1.8万个，已建设充电设施约4900个。中大型环卫车配建专用充电设施约350个。全市建成出租车换电站和私家车换电站26座，覆盖中心城区和荥阳市、新密市、新郑市、中牟县。</w:t>
      </w:r>
      <w:bookmarkStart w:id="27" w:name="_Toc25022"/>
      <w:bookmarkStart w:id="28" w:name="_Toc250"/>
      <w:bookmarkStart w:id="29" w:name="_Toc11169"/>
      <w:bookmarkStart w:id="30" w:name="_Toc26781"/>
    </w:p>
    <w:p>
      <w:pPr>
        <w:ind w:firstLine="640"/>
        <w:rPr>
          <w:rFonts w:eastAsia="楷体_GB2312"/>
          <w:szCs w:val="28"/>
        </w:rPr>
      </w:pPr>
      <w:r>
        <w:rPr>
          <w:rFonts w:hint="eastAsia" w:eastAsia="楷体_GB2312"/>
          <w:szCs w:val="28"/>
        </w:rPr>
        <w:t>（三）居民区私人桩建设</w:t>
      </w:r>
      <w:bookmarkEnd w:id="27"/>
      <w:bookmarkEnd w:id="28"/>
      <w:bookmarkEnd w:id="29"/>
      <w:bookmarkEnd w:id="30"/>
      <w:r>
        <w:rPr>
          <w:rFonts w:hint="eastAsia" w:eastAsia="楷体_GB2312"/>
          <w:szCs w:val="28"/>
        </w:rPr>
        <w:t>情况</w:t>
      </w:r>
    </w:p>
    <w:p>
      <w:pPr>
        <w:ind w:firstLine="640"/>
      </w:pPr>
      <w:r>
        <w:rPr>
          <w:rFonts w:hint="eastAsia"/>
        </w:rPr>
        <w:t>随着《郑州市老旧小区整治提升工作实施方案》落地执行，老旧小区充电设施规划建设条件逐步改善。全市现有居民小区约7400个，其中，有专业化物业服务企业的居民小区超4500个，占比62%；未实行专业化物业服务的居民小区约2800个，占比38%。截止2022年底，全市有近1500个专业化物业服务企业的居民小区已建私人自用充电设施约1.9万个，平均每个小区约12个。其中，72%的充电设施分布在主城区，28%的充电设施分布在周边区县。</w:t>
      </w:r>
      <w:bookmarkStart w:id="31" w:name="_Toc29348"/>
      <w:bookmarkStart w:id="32" w:name="_Toc13921"/>
      <w:bookmarkStart w:id="33" w:name="_Toc6909"/>
      <w:bookmarkStart w:id="34" w:name="_Toc22880"/>
    </w:p>
    <w:p>
      <w:pPr>
        <w:ind w:firstLine="640"/>
        <w:rPr>
          <w:rFonts w:eastAsia="楷体_GB2312"/>
          <w:szCs w:val="28"/>
        </w:rPr>
      </w:pPr>
      <w:r>
        <w:rPr>
          <w:rFonts w:hint="eastAsia" w:eastAsia="楷体_GB2312"/>
          <w:szCs w:val="28"/>
        </w:rPr>
        <w:t>（四）政策体系保障</w:t>
      </w:r>
      <w:bookmarkEnd w:id="31"/>
      <w:bookmarkEnd w:id="32"/>
      <w:bookmarkEnd w:id="33"/>
      <w:bookmarkEnd w:id="34"/>
      <w:r>
        <w:rPr>
          <w:rFonts w:hint="eastAsia" w:eastAsia="楷体_GB2312"/>
          <w:szCs w:val="28"/>
        </w:rPr>
        <w:t>情况</w:t>
      </w:r>
    </w:p>
    <w:p>
      <w:pPr>
        <w:ind w:firstLine="640"/>
      </w:pPr>
      <w:r>
        <w:rPr>
          <w:rFonts w:hint="eastAsia"/>
        </w:rPr>
        <w:t>为加快充电基础设施建设，郑州市印发实施</w:t>
      </w:r>
      <w:r>
        <w:t>了《郑州市“十三五”电动汽车充电基础设施发展规划》、《郑州市加快电动汽车充电基础设施建设实施方案（2017-2020</w:t>
      </w:r>
      <w:r>
        <w:rPr>
          <w:rFonts w:hint="eastAsia"/>
        </w:rPr>
        <w:t>）</w:t>
      </w:r>
      <w:r>
        <w:t>》、《郑州市加快电动汽车充电基础设施建设实施办法》、《郑州市电动汽车充电基础设施建设补助资金实施细则》</w:t>
      </w:r>
      <w:r>
        <w:rPr>
          <w:rFonts w:hint="eastAsia"/>
        </w:rPr>
        <w:t>、</w:t>
      </w:r>
      <w:r>
        <w:t>《郑州市2019-2020年电动汽车充电基础设施建设实施方案》等一系列政策文件，明确充电设施建设目标和任务分工，分行业、分领域合力推进</w:t>
      </w:r>
      <w:r>
        <w:rPr>
          <w:rFonts w:hint="eastAsia"/>
        </w:rPr>
        <w:t xml:space="preserve">，全力支持本市新能源汽车推广落地。 </w:t>
      </w:r>
    </w:p>
    <w:p>
      <w:pPr>
        <w:pStyle w:val="3"/>
        <w:ind w:firstLine="640"/>
      </w:pPr>
      <w:bookmarkStart w:id="35" w:name="_Toc22498"/>
      <w:r>
        <w:rPr>
          <w:rFonts w:hint="eastAsia"/>
        </w:rPr>
        <w:t>二、</w:t>
      </w:r>
      <w:bookmarkEnd w:id="35"/>
      <w:r>
        <w:rPr>
          <w:rFonts w:hint="eastAsia"/>
        </w:rPr>
        <w:t>存在问题</w:t>
      </w:r>
    </w:p>
    <w:p>
      <w:pPr>
        <w:pStyle w:val="4"/>
        <w:ind w:firstLine="640"/>
      </w:pPr>
      <w:bookmarkStart w:id="36" w:name="_Toc7591"/>
      <w:bookmarkStart w:id="37" w:name="_Toc26658"/>
      <w:bookmarkStart w:id="38" w:name="_Toc8183"/>
      <w:bookmarkStart w:id="39" w:name="_Toc9557"/>
      <w:r>
        <w:rPr>
          <w:rFonts w:hint="eastAsia"/>
        </w:rPr>
        <w:t>（一）公用充电设施建设落地难</w:t>
      </w:r>
      <w:bookmarkEnd w:id="36"/>
      <w:bookmarkEnd w:id="37"/>
      <w:bookmarkEnd w:id="38"/>
      <w:bookmarkEnd w:id="39"/>
    </w:p>
    <w:p>
      <w:pPr>
        <w:ind w:firstLine="640"/>
      </w:pPr>
      <w:r>
        <w:rPr>
          <w:rFonts w:hint="eastAsia"/>
        </w:rPr>
        <w:t>在省、市两级支持充电基础设施建设政策的鼓励下，运营企业建设充电基础设施积极性不断提高，但集中式充电站</w:t>
      </w:r>
      <w:r>
        <w:t>建设</w:t>
      </w:r>
      <w:r>
        <w:rPr>
          <w:rFonts w:hint="eastAsia"/>
        </w:rPr>
        <w:t>需一定</w:t>
      </w:r>
      <w:r>
        <w:t>规模</w:t>
      </w:r>
      <w:r>
        <w:rPr>
          <w:rFonts w:hint="eastAsia"/>
        </w:rPr>
        <w:t>的土地，</w:t>
      </w:r>
      <w:r>
        <w:t>主城区</w:t>
      </w:r>
      <w:r>
        <w:rPr>
          <w:rFonts w:hint="eastAsia"/>
        </w:rPr>
        <w:t>土地资源紧张，</w:t>
      </w:r>
      <w:r>
        <w:t>权属复杂</w:t>
      </w:r>
      <w:r>
        <w:rPr>
          <w:rFonts w:hint="eastAsia"/>
        </w:rPr>
        <w:t>，</w:t>
      </w:r>
      <w:r>
        <w:t>部分设施需要电力配套改造</w:t>
      </w:r>
      <w:r>
        <w:rPr>
          <w:rFonts w:hint="eastAsia"/>
        </w:rPr>
        <w:t>，导致充电基础设施难以落地。全市有1500余家经营性停车场，因电力容量不足、企业投资偏高等因素影响，仅有约230家停车场安装充电桩，占比15%。</w:t>
      </w:r>
    </w:p>
    <w:p>
      <w:pPr>
        <w:pStyle w:val="4"/>
        <w:ind w:firstLine="640"/>
      </w:pPr>
      <w:bookmarkStart w:id="40" w:name="_Toc30934"/>
      <w:bookmarkStart w:id="41" w:name="_Toc10142"/>
      <w:bookmarkStart w:id="42" w:name="_Toc16205"/>
      <w:bookmarkStart w:id="43" w:name="_Toc488"/>
      <w:r>
        <w:rPr>
          <w:rFonts w:hint="eastAsia"/>
        </w:rPr>
        <w:t>（二）居民区充电设施建设受限</w:t>
      </w:r>
      <w:bookmarkEnd w:id="40"/>
      <w:bookmarkEnd w:id="41"/>
      <w:bookmarkEnd w:id="42"/>
      <w:bookmarkEnd w:id="43"/>
    </w:p>
    <w:p>
      <w:pPr>
        <w:ind w:firstLine="640"/>
      </w:pPr>
      <w:r>
        <w:rPr>
          <w:rFonts w:hint="eastAsia"/>
        </w:rPr>
        <w:t>多数老旧小区建设时未考虑到大规模、大功率用电需求，电力容量不足，不具备充电设施建设条件。部分小区没有预留安装场地，空间有限导致停车位不足，难以找到合适场所建设固定充电设施。同时，小区新建充电设施需通过社区、物业、电力、居民等多方协商，各方对安装充电设施及充电过程中安全责任不清存在担忧，通常难以兼顾各方利益，导致充电设施建设困难。</w:t>
      </w:r>
    </w:p>
    <w:p>
      <w:pPr>
        <w:pStyle w:val="4"/>
        <w:ind w:firstLine="640"/>
      </w:pPr>
      <w:bookmarkStart w:id="44" w:name="_Toc12500"/>
      <w:r>
        <w:rPr>
          <w:rFonts w:hint="eastAsia"/>
        </w:rPr>
        <w:t>（三）公用充电设施分布不均</w:t>
      </w:r>
      <w:bookmarkEnd w:id="44"/>
    </w:p>
    <w:p>
      <w:pPr>
        <w:ind w:firstLine="640"/>
      </w:pPr>
      <w:r>
        <w:rPr>
          <w:rFonts w:hint="eastAsia"/>
        </w:rPr>
        <w:t>一是公用充电设施在老旧小区建设不足，未能满足车主便捷充电诉求。二是在周边县市和乡镇地区公用充电设施建设相对分散，充电设施服务能力相对薄弱。三是在农村地区公用充电设施数量严重不足，制约了农村地区新能源汽车消费潜力的释放。</w:t>
      </w:r>
    </w:p>
    <w:p>
      <w:pPr>
        <w:pStyle w:val="4"/>
        <w:ind w:firstLine="640"/>
      </w:pPr>
      <w:bookmarkStart w:id="45" w:name="_Toc5509"/>
      <w:bookmarkStart w:id="46" w:name="_Toc14082"/>
      <w:bookmarkStart w:id="47" w:name="_Toc18217"/>
      <w:bookmarkStart w:id="48" w:name="_Toc25117"/>
      <w:r>
        <w:rPr>
          <w:rFonts w:hint="eastAsia"/>
        </w:rPr>
        <w:t>（四）</w:t>
      </w:r>
      <w:r>
        <w:t>运营服务管理</w:t>
      </w:r>
      <w:r>
        <w:rPr>
          <w:rFonts w:hint="eastAsia"/>
        </w:rPr>
        <w:t>不规范</w:t>
      </w:r>
      <w:bookmarkEnd w:id="45"/>
      <w:bookmarkEnd w:id="46"/>
      <w:bookmarkEnd w:id="47"/>
      <w:bookmarkEnd w:id="48"/>
    </w:p>
    <w:p>
      <w:pPr>
        <w:ind w:firstLine="640"/>
      </w:pPr>
      <w:r>
        <w:rPr>
          <w:rFonts w:hint="eastAsia"/>
        </w:rPr>
        <w:t>本</w:t>
      </w:r>
      <w:r>
        <w:t>市充电运营</w:t>
      </w:r>
      <w:r>
        <w:rPr>
          <w:rFonts w:hint="eastAsia"/>
        </w:rPr>
        <w:t>企业数量</w:t>
      </w:r>
      <w:r>
        <w:t>多、规模小，充电设施建设运营主体存在“重建设、轻运营”问题，公共充电</w:t>
      </w:r>
      <w:r>
        <w:rPr>
          <w:rFonts w:hint="eastAsia"/>
        </w:rPr>
        <w:t>设施</w:t>
      </w:r>
      <w:r>
        <w:t>的运营管理和服务跟不上，充电设施不能得到及时维护</w:t>
      </w:r>
      <w:r>
        <w:rPr>
          <w:rFonts w:hint="eastAsia"/>
        </w:rPr>
        <w:t>。充电站运营模式单一，</w:t>
      </w:r>
      <w:r>
        <w:t>缺乏相应充电衍生增值服务。同时</w:t>
      </w:r>
      <w:r>
        <w:rPr>
          <w:rFonts w:hint="eastAsia"/>
        </w:rPr>
        <w:t>公共充电设施</w:t>
      </w:r>
      <w:r>
        <w:t>面临</w:t>
      </w:r>
      <w:r>
        <w:rPr>
          <w:rFonts w:hint="eastAsia"/>
        </w:rPr>
        <w:t>油车占位</w:t>
      </w:r>
      <w:r>
        <w:t>、充电桩位置隐蔽、支付结算环节繁琐等问题</w:t>
      </w:r>
      <w:r>
        <w:rPr>
          <w:rFonts w:hint="eastAsia"/>
        </w:rPr>
        <w:t>，在视频监控、智能地锁应用和企业充电平台智能化水平上仍需加强</w:t>
      </w:r>
      <w:r>
        <w:t>。</w:t>
      </w:r>
    </w:p>
    <w:p>
      <w:pPr>
        <w:pStyle w:val="4"/>
        <w:ind w:firstLine="640"/>
      </w:pPr>
      <w:bookmarkStart w:id="49" w:name="_Toc22554"/>
      <w:bookmarkStart w:id="50" w:name="_Toc30227"/>
      <w:bookmarkStart w:id="51" w:name="_Toc7989"/>
      <w:bookmarkStart w:id="52" w:name="_Toc18469"/>
      <w:r>
        <w:rPr>
          <w:rFonts w:hint="eastAsia"/>
        </w:rPr>
        <w:t>（五）市级监管平台</w:t>
      </w:r>
      <w:r>
        <w:t>亟</w:t>
      </w:r>
      <w:r>
        <w:rPr>
          <w:rFonts w:hint="eastAsia"/>
        </w:rPr>
        <w:t>待建立</w:t>
      </w:r>
      <w:bookmarkEnd w:id="49"/>
      <w:bookmarkEnd w:id="50"/>
      <w:bookmarkEnd w:id="51"/>
      <w:bookmarkEnd w:id="52"/>
    </w:p>
    <w:p>
      <w:pPr>
        <w:ind w:firstLine="640"/>
      </w:pPr>
      <w:r>
        <w:rPr>
          <w:rFonts w:hint="eastAsia"/>
        </w:rPr>
        <w:t>在本市建设充电设施开展公共充电服务的运营企业约有70余家，均有自己的充电智能服务平台或使用其它公司授权的服务平台，充电运营企业多且分散，充电资源不能共享，用户搜索使用极不方便，充电市场亟待建设全市统一的充电智能服务平台。同时，由于市级监管平台未投入使用，本市充电设施缺少智能化数据采集和安全监控手段，亟需学习北京、上海、深圳等大城市智能化的行业管理经验。</w:t>
      </w:r>
    </w:p>
    <w:p>
      <w:pPr>
        <w:pStyle w:val="2"/>
        <w:spacing w:after="0" w:afterLines="0"/>
      </w:pPr>
      <w:bookmarkStart w:id="53" w:name="_Toc7917"/>
      <w:r>
        <w:rPr>
          <w:rFonts w:hint="eastAsia"/>
        </w:rPr>
        <w:t>第三章 需求预测</w:t>
      </w:r>
      <w:bookmarkEnd w:id="53"/>
    </w:p>
    <w:p>
      <w:pPr>
        <w:pStyle w:val="3"/>
        <w:ind w:firstLine="640"/>
      </w:pPr>
      <w:bookmarkStart w:id="54" w:name="_Toc17390"/>
      <w:r>
        <w:rPr>
          <w:rFonts w:hint="eastAsia"/>
        </w:rPr>
        <w:t>一、发展趋势</w:t>
      </w:r>
    </w:p>
    <w:p>
      <w:pPr>
        <w:pStyle w:val="4"/>
        <w:ind w:firstLine="640"/>
      </w:pPr>
      <w:bookmarkStart w:id="55" w:name="_Toc17486"/>
      <w:bookmarkStart w:id="56" w:name="_Toc7711"/>
      <w:bookmarkStart w:id="57" w:name="_Toc30986"/>
      <w:r>
        <w:rPr>
          <w:rFonts w:hint="eastAsia"/>
        </w:rPr>
        <w:t>（一）产业发展趋势</w:t>
      </w:r>
      <w:bookmarkEnd w:id="55"/>
      <w:bookmarkEnd w:id="56"/>
      <w:bookmarkEnd w:id="57"/>
    </w:p>
    <w:p>
      <w:pPr>
        <w:ind w:firstLine="643"/>
      </w:pPr>
      <w:r>
        <w:rPr>
          <w:rFonts w:hint="eastAsia"/>
          <w:b/>
          <w:bCs/>
        </w:rPr>
        <w:t>国家政策推动新能源汽车产业全面、持续发展。</w:t>
      </w:r>
      <w:r>
        <w:rPr>
          <w:rFonts w:hint="eastAsia"/>
        </w:rPr>
        <w:t>国务院办公厅发布的《新能源汽车产业发展规划（2021—2035年）》提出，到2025年新能源汽车新车销售量达到汽车新车销售总量的20%左右，力争经过15年的持续努力，我国新能源汽车核心技术达到国际先进水平，质量品牌具备较强国际竞争力。纯电动汽车成为新销售车辆的主流，公共领域用车全面电动化，燃料电池汽车实现商业化应用，高度自动驾驶汽车实现规模化应用，充换电服务网络便捷高效，氢燃料供给体系建设稳步推进，有效促进节能减排水平和社会运行效率的提升。工业和信息化部等八部门发布《关于组织开展公共领域车辆全面电动化先行区试点工作的通知》，推动提升公共领域车辆电动化水平，河南属于一类推广试点。国家发改委发布《关于加快推进充电基础设施建设 更好支持新能源汽车下乡和乡村振兴的实施意见》，推动新能源汽车下乡，引导农村地区居民绿色出行，推动新能源车总量持续上升。</w:t>
      </w:r>
    </w:p>
    <w:p>
      <w:pPr>
        <w:ind w:firstLine="643"/>
      </w:pPr>
      <w:r>
        <w:rPr>
          <w:rFonts w:hint="eastAsia"/>
          <w:b/>
          <w:bCs/>
        </w:rPr>
        <w:t>中原汽车产业发展为充电行业创造了新的发展机遇。</w:t>
      </w:r>
      <w:r>
        <w:rPr>
          <w:rFonts w:hint="eastAsia"/>
        </w:rPr>
        <w:t>《河南省人民政府办公厅关于进一步加快新能源汽车产业发展的指导意见》（豫政办〔2022〕45号）提出，以郑州为中心发展整车产业，重点发展新能源客车、乘用车、载货车；产业基础较好的地方重点发展配套产业，引进培育核心零部件龙头企业，努力建成具有全国影响力的新能源汽车产业基地。在政策引导下，公交、出租、物流、网约、重卡、公务车辆更新为电动汽车的速度加快，吸引了大量社会资本参与公共、专用充电站（桩）建设。根据碳达峰、碳中和目标任务，各大车企加速了新能源新车型的研发，部分车企已明确提出了“减碳”目标或“碳中和”时间表，汽车产业新能源化的发展趋势为充电行业创造了更广泛的用户支撑与更广阔的发展前景。</w:t>
      </w:r>
    </w:p>
    <w:p>
      <w:pPr>
        <w:pStyle w:val="4"/>
        <w:ind w:firstLine="640"/>
      </w:pPr>
      <w:bookmarkStart w:id="58" w:name="_Toc29287"/>
      <w:bookmarkStart w:id="59" w:name="_Toc3270"/>
      <w:bookmarkStart w:id="60" w:name="_Toc4496"/>
      <w:r>
        <w:rPr>
          <w:rFonts w:hint="eastAsia"/>
        </w:rPr>
        <w:t>（二）技术发展趋势</w:t>
      </w:r>
      <w:bookmarkEnd w:id="58"/>
      <w:bookmarkEnd w:id="59"/>
      <w:bookmarkEnd w:id="60"/>
    </w:p>
    <w:p>
      <w:pPr>
        <w:ind w:firstLine="643"/>
      </w:pPr>
      <w:r>
        <w:rPr>
          <w:b/>
          <w:bCs/>
        </w:rPr>
        <w:t>电池技术</w:t>
      </w:r>
      <w:r>
        <w:rPr>
          <w:rFonts w:hint="eastAsia"/>
          <w:b/>
          <w:bCs/>
        </w:rPr>
        <w:t>的进步</w:t>
      </w:r>
      <w:r>
        <w:rPr>
          <w:b/>
          <w:bCs/>
        </w:rPr>
        <w:t>是</w:t>
      </w:r>
      <w:r>
        <w:rPr>
          <w:rFonts w:hint="eastAsia"/>
          <w:b/>
          <w:bCs/>
        </w:rPr>
        <w:t>推动</w:t>
      </w:r>
      <w:r>
        <w:rPr>
          <w:b/>
          <w:bCs/>
        </w:rPr>
        <w:t>新能源车</w:t>
      </w:r>
      <w:r>
        <w:rPr>
          <w:rFonts w:hint="eastAsia"/>
          <w:b/>
          <w:bCs/>
        </w:rPr>
        <w:t>发展</w:t>
      </w:r>
      <w:r>
        <w:rPr>
          <w:b/>
          <w:bCs/>
        </w:rPr>
        <w:t>的核心</w:t>
      </w:r>
      <w:r>
        <w:rPr>
          <w:rFonts w:hint="eastAsia"/>
          <w:b/>
          <w:bCs/>
        </w:rPr>
        <w:t>因素</w:t>
      </w:r>
      <w:r>
        <w:rPr>
          <w:b/>
          <w:bCs/>
        </w:rPr>
        <w:t>。</w:t>
      </w:r>
      <w:r>
        <w:t>新能源动力电池的技术发展日新月异，动力电池技术创新模式已从政府主导向市场驱动转型。单体能量更高、体积重量更轻、使用寿命更长、充电速度更快更安全，是电池技术革新的重要内涵。</w:t>
      </w:r>
      <w:r>
        <w:rPr>
          <w:rFonts w:hint="eastAsia"/>
        </w:rPr>
        <w:t>目前，电池</w:t>
      </w:r>
      <w:r>
        <w:t>研发热点</w:t>
      </w:r>
      <w:r>
        <w:rPr>
          <w:rFonts w:hint="eastAsia"/>
        </w:rPr>
        <w:t>集中在四个方面，一是</w:t>
      </w:r>
      <w:r>
        <w:t>下一代锂离子电池</w:t>
      </w:r>
      <w:r>
        <w:rPr>
          <w:rFonts w:hint="eastAsia"/>
        </w:rPr>
        <w:t>，提升能量密度和热失控管理水平；二是</w:t>
      </w:r>
      <w:r>
        <w:t>新体系电池（含固态和液体），从基础研究</w:t>
      </w:r>
      <w:r>
        <w:rPr>
          <w:rFonts w:hint="eastAsia"/>
        </w:rPr>
        <w:t>走向</w:t>
      </w:r>
      <w:r>
        <w:t>深入技术研究</w:t>
      </w:r>
      <w:r>
        <w:rPr>
          <w:rFonts w:hint="eastAsia"/>
        </w:rPr>
        <w:t>；三是</w:t>
      </w:r>
      <w:r>
        <w:t>智能电池（含大数据），通过数据驱动、建模等方式，对电池性能和安全性做预测和预警</w:t>
      </w:r>
      <w:r>
        <w:rPr>
          <w:rFonts w:hint="eastAsia"/>
        </w:rPr>
        <w:t>；四是</w:t>
      </w:r>
      <w:r>
        <w:t>电池系统集成，在</w:t>
      </w:r>
      <w:r>
        <w:rPr>
          <w:rFonts w:hint="eastAsia"/>
        </w:rPr>
        <w:t>智能电池</w:t>
      </w:r>
      <w:r>
        <w:t>基础上实现大功率、大倍率快充，</w:t>
      </w:r>
      <w:r>
        <w:rPr>
          <w:rFonts w:hint="eastAsia"/>
        </w:rPr>
        <w:t>提升低温和高温环境适应性</w:t>
      </w:r>
      <w:r>
        <w:t>。更有竞争力、更经济实惠、更可靠耐用的电池产品，支撑新能源车辆续驶里程的增长，将从根本上解决购车人里程焦虑的问题。</w:t>
      </w:r>
    </w:p>
    <w:p>
      <w:pPr>
        <w:ind w:firstLine="643"/>
      </w:pPr>
      <w:r>
        <w:rPr>
          <w:rFonts w:hint="eastAsia"/>
          <w:b/>
          <w:bCs/>
        </w:rPr>
        <w:t>800V高压架构有望成为下一代电动汽车的主流平台。</w:t>
      </w:r>
      <w:r>
        <w:rPr>
          <w:rFonts w:hint="eastAsia"/>
        </w:rPr>
        <w:t>快充的核心在于提高整车充电功率，提高充电功率主要有两种方式，加大充电电流或者提高充电电压。目前大多数纯电动汽车的牵引逆变器都使用600V的IGBT模块，电池组电压限制在400V左右的峰值，高电流会导致充电电缆笨重、传导热损失平方级别增长，连接器、电缆、电池的电连接、母线排等的电阻都会发热。800V高压平台将母线电压提高到800 V，可以使同一根电缆的充电功率增加一倍，达到350kW或400kW的超高充电功率。800V 高压系统以低成本和高效率系统获得众多企业青睐，国内车企比亚迪、吉利、极狐、现代、广汽、小鹏等均重点布局800V高压平台。</w:t>
      </w:r>
    </w:p>
    <w:p>
      <w:pPr>
        <w:ind w:firstLine="643"/>
      </w:pPr>
      <w:r>
        <w:rPr>
          <w:b/>
          <w:bCs/>
        </w:rPr>
        <w:t>超级快充</w:t>
      </w:r>
      <w:r>
        <w:rPr>
          <w:rFonts w:hint="eastAsia"/>
          <w:b/>
          <w:bCs/>
        </w:rPr>
        <w:t>成为</w:t>
      </w:r>
      <w:r>
        <w:rPr>
          <w:b/>
          <w:bCs/>
        </w:rPr>
        <w:t>充电桩领域新风口。</w:t>
      </w:r>
      <w:r>
        <w:t>长期以来相较于加油速度，充电速度较慢一直是新能源汽车的痛点之一，</w:t>
      </w:r>
      <w:r>
        <w:rPr>
          <w:rFonts w:hint="eastAsia"/>
        </w:rPr>
        <w:t>伴随着800V平台车型的加速推广，国内新能源整车企业、充电设备生产企业、科技研发企业等加大了高压大电流充电产品的研发与技术储备力度。如支持最高1000V-1500V充电电压、最大500A-600A充电电流的超级充电技术，能够实现长续驶里程纯电动汽车10-15分钟即充满的要求。开发关键零部件、提高元器件的耐高压、绝缘能力、控制充电温度，同时实现充电电缆、充电枪头的轻量化与小型化为技术发展主要方向。根据行业专家预测，800V车型量产时间预计在2023年-2025年，优先在中高端车型搭载，然后逐渐扩大应用范围。</w:t>
      </w:r>
    </w:p>
    <w:p>
      <w:pPr>
        <w:ind w:firstLine="643"/>
      </w:pPr>
      <w:r>
        <w:rPr>
          <w:rFonts w:hint="eastAsia"/>
          <w:b/>
          <w:bCs/>
        </w:rPr>
        <w:t>有序充电、车网互动将加速应用。</w:t>
      </w:r>
      <w:r>
        <w:rPr>
          <w:rFonts w:hint="eastAsia"/>
        </w:rPr>
        <w:t>规模化电动汽车的无序入网将对现有电网带来挑战，倒逼有序充电、车网互动加速应用。为解决电力容量的限制问题，一是需要关注并解决电动汽车的规模化应用对电网的不利影响，进一步普及智能有序充电；二是要结合需求侧变化，进一步规范调整电力容量的配建标准，支撑新建住宅100%预留、大规模快充桩群的建设，更好地满足车辆的充电需求；三是利用电动汽车的充电负荷特性和移动储能特性，探索电动汽车与电网的双向互动（V2G），为优化电网运行提供辅助等。</w:t>
      </w:r>
    </w:p>
    <w:p>
      <w:pPr>
        <w:ind w:firstLine="643"/>
      </w:pPr>
      <w:r>
        <w:rPr>
          <w:rFonts w:hint="eastAsia"/>
          <w:b/>
          <w:bCs/>
        </w:rPr>
        <w:t>换电技术应用任重道远。</w:t>
      </w:r>
      <w:r>
        <w:rPr>
          <w:rFonts w:hint="eastAsia"/>
        </w:rPr>
        <w:t>换电技术目前已经为新能源汽车续航里程焦虑提供了行之有效的解决方案，换电商业模式可以在重卡、出租车和大规模租赁车辆上实施，但同时存在一些现阶段难以解决的问题。换电技术推广高度依赖于标准化，现阶段的换电标准制修订落后于换电产业的发展，在电池标准化和互换性指标缺乏明确规定。短期来看，市场仍会以“充电为主、换电为辅”的模式向前发展。但未来，随着新能源汽车渗透率增加，将新能源汽车充换电服务纳入碳交易市场的政策支持，加之无线充电、固态电池技术的日渐成熟，未来会有更多解决续航里程不足问题的方案，与换电技术共同促进新能源汽车产业的发展。</w:t>
      </w:r>
    </w:p>
    <w:p>
      <w:pPr>
        <w:pStyle w:val="3"/>
        <w:ind w:firstLine="640"/>
      </w:pPr>
      <w:r>
        <w:rPr>
          <w:rFonts w:hint="eastAsia"/>
        </w:rPr>
        <w:t>二、远景需求</w:t>
      </w:r>
      <w:bookmarkEnd w:id="54"/>
      <w:r>
        <w:rPr>
          <w:rFonts w:hint="eastAsia"/>
        </w:rPr>
        <w:t>预测</w:t>
      </w:r>
    </w:p>
    <w:p>
      <w:pPr>
        <w:ind w:firstLine="640"/>
      </w:pPr>
      <w:r>
        <w:rPr>
          <w:rFonts w:hint="eastAsia"/>
        </w:rPr>
        <w:t>根据新能源汽车产业发展趋势、技术发展趋势、车桩配比和本地充电设施建设特点预测，2035年郑州市新能源汽车保有量将达到270万辆，充电设施规模将超过110万个。其中，私人充电桩约90万个，公专用充电设施约20万个。换电站加速发展，形成与换电型新能源汽车规模相匹配的城市换电设施体系。</w:t>
      </w:r>
    </w:p>
    <w:p>
      <w:pPr>
        <w:pStyle w:val="3"/>
        <w:ind w:firstLine="640"/>
      </w:pPr>
      <w:bookmarkStart w:id="61" w:name="_Toc29993"/>
      <w:r>
        <w:rPr>
          <w:rFonts w:hint="eastAsia"/>
        </w:rPr>
        <w:t>三、近期需求预测</w:t>
      </w:r>
      <w:bookmarkEnd w:id="61"/>
    </w:p>
    <w:p>
      <w:pPr>
        <w:pStyle w:val="4"/>
        <w:ind w:firstLine="640"/>
      </w:pPr>
      <w:bookmarkStart w:id="62" w:name="_Toc26342"/>
      <w:bookmarkStart w:id="63" w:name="_Toc14411"/>
      <w:bookmarkStart w:id="64" w:name="_Toc2284"/>
      <w:bookmarkStart w:id="65" w:name="_Toc6832"/>
      <w:r>
        <w:rPr>
          <w:rFonts w:hint="eastAsia"/>
        </w:rPr>
        <w:t>（一）新能源汽车保有量预测</w:t>
      </w:r>
      <w:bookmarkEnd w:id="62"/>
      <w:bookmarkEnd w:id="63"/>
      <w:bookmarkEnd w:id="64"/>
      <w:bookmarkEnd w:id="65"/>
    </w:p>
    <w:p>
      <w:pPr>
        <w:pStyle w:val="5"/>
        <w:ind w:firstLine="643"/>
      </w:pPr>
      <w:r>
        <w:rPr>
          <w:rFonts w:hint="eastAsia"/>
        </w:rPr>
        <w:t>1.新能源汽车总量预测</w:t>
      </w:r>
    </w:p>
    <w:p>
      <w:pPr>
        <w:spacing w:line="580" w:lineRule="exact"/>
        <w:ind w:firstLine="640"/>
      </w:pPr>
      <w:r>
        <w:rPr>
          <w:rFonts w:hint="eastAsia"/>
        </w:rPr>
        <w:t>2025年新能源汽车保有量预测采用年均增长率法和政策分析法，综合考虑两种分析法预测值，“2023-2025”年期间郑州新能源汽车保有量分别为38万辆、52万辆、67万辆，</w:t>
      </w:r>
      <w:r>
        <w:rPr>
          <w:rFonts w:hint="eastAsia" w:cs="Times New Roman"/>
          <w:szCs w:val="32"/>
        </w:rPr>
        <w:t>“2023-2025”年郑州新能源汽车新增量将分别达到13万辆、14万辆、15万辆。</w:t>
      </w:r>
    </w:p>
    <w:p>
      <w:pPr>
        <w:pStyle w:val="5"/>
        <w:ind w:firstLine="643"/>
      </w:pPr>
      <w:r>
        <w:rPr>
          <w:rFonts w:hint="eastAsia"/>
        </w:rPr>
        <w:t>2.分车型预测</w:t>
      </w:r>
    </w:p>
    <w:p>
      <w:pPr>
        <w:ind w:firstLine="640"/>
      </w:pPr>
      <w:r>
        <w:rPr>
          <w:rFonts w:hint="eastAsia"/>
        </w:rPr>
        <w:t>根据工业和信息化部等八部门下发的《关于组织开展公共领域车辆全面电动化先行区试点工作的通知》（工信部联通装函〔2023〕23号），试点领域新增及更新车辆中新能源汽车比例显著提高，其中城市公交、出租、环卫、邮政快递、城市物流配送领域力争达到80%。本规划原则上采用以上标准，结合本地实际调研情况进行合理调整，2023-2025年各类型新能源汽车增量如下表所示。</w:t>
      </w:r>
    </w:p>
    <w:p>
      <w:pPr>
        <w:pStyle w:val="28"/>
        <w:spacing w:before="217" w:beforeLines="50" w:line="240" w:lineRule="auto"/>
        <w:ind w:firstLine="0" w:firstLineChars="0"/>
        <w:rPr>
          <w:rFonts w:eastAsia="仿宋_GB2312"/>
          <w:bCs/>
          <w:sz w:val="24"/>
          <w:szCs w:val="24"/>
        </w:rPr>
      </w:pPr>
      <w:r>
        <w:rPr>
          <w:rFonts w:hint="eastAsia" w:eastAsia="仿宋_GB2312"/>
          <w:bCs/>
          <w:sz w:val="24"/>
          <w:szCs w:val="24"/>
        </w:rPr>
        <w:t>表3-</w:t>
      </w:r>
      <w:r>
        <w:rPr>
          <w:rFonts w:eastAsia="仿宋_GB2312"/>
          <w:bCs/>
          <w:sz w:val="24"/>
          <w:szCs w:val="24"/>
        </w:rPr>
        <w:t>1</w:t>
      </w:r>
      <w:r>
        <w:rPr>
          <w:rFonts w:hint="eastAsia" w:eastAsia="仿宋_GB2312"/>
          <w:bCs/>
          <w:sz w:val="24"/>
          <w:szCs w:val="24"/>
        </w:rPr>
        <w:t xml:space="preserve">  郑州市“2023-2025”年电动汽车新增量预测（万辆）</w:t>
      </w:r>
    </w:p>
    <w:tbl>
      <w:tblPr>
        <w:tblStyle w:val="17"/>
        <w:tblW w:w="8476" w:type="dxa"/>
        <w:jc w:val="center"/>
        <w:tblLayout w:type="fixed"/>
        <w:tblCellMar>
          <w:top w:w="0" w:type="dxa"/>
          <w:left w:w="108" w:type="dxa"/>
          <w:bottom w:w="0" w:type="dxa"/>
          <w:right w:w="108" w:type="dxa"/>
        </w:tblCellMar>
      </w:tblPr>
      <w:tblGrid>
        <w:gridCol w:w="2881"/>
        <w:gridCol w:w="1865"/>
        <w:gridCol w:w="1865"/>
        <w:gridCol w:w="1865"/>
      </w:tblGrid>
      <w:tr>
        <w:tblPrEx>
          <w:tblCellMar>
            <w:top w:w="0" w:type="dxa"/>
            <w:left w:w="108" w:type="dxa"/>
            <w:bottom w:w="0" w:type="dxa"/>
            <w:right w:w="108" w:type="dxa"/>
          </w:tblCellMar>
        </w:tblPrEx>
        <w:trPr>
          <w:trHeight w:val="340" w:hRule="atLeast"/>
          <w:tblHeader/>
          <w:jc w:val="center"/>
        </w:trPr>
        <w:tc>
          <w:tcPr>
            <w:tcW w:w="288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类型</w:t>
            </w:r>
          </w:p>
        </w:tc>
        <w:tc>
          <w:tcPr>
            <w:tcW w:w="1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sz w:val="21"/>
                <w:szCs w:val="21"/>
              </w:rPr>
            </w:pPr>
            <w:r>
              <w:rPr>
                <w:rFonts w:eastAsia="宋体" w:cs="Times New Roman"/>
                <w:color w:val="000000"/>
                <w:kern w:val="0"/>
                <w:sz w:val="21"/>
                <w:szCs w:val="21"/>
                <w:lang w:bidi="ar"/>
              </w:rPr>
              <w:t>2023</w:t>
            </w:r>
          </w:p>
        </w:tc>
        <w:tc>
          <w:tcPr>
            <w:tcW w:w="1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sz w:val="21"/>
                <w:szCs w:val="21"/>
              </w:rPr>
            </w:pPr>
            <w:r>
              <w:rPr>
                <w:rFonts w:eastAsia="宋体" w:cs="Times New Roman"/>
                <w:color w:val="000000"/>
                <w:kern w:val="0"/>
                <w:sz w:val="21"/>
                <w:szCs w:val="21"/>
                <w:lang w:bidi="ar"/>
              </w:rPr>
              <w:t>2024</w:t>
            </w:r>
          </w:p>
        </w:tc>
        <w:tc>
          <w:tcPr>
            <w:tcW w:w="18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sz w:val="21"/>
                <w:szCs w:val="21"/>
              </w:rPr>
            </w:pPr>
            <w:r>
              <w:rPr>
                <w:rFonts w:eastAsia="宋体" w:cs="Times New Roman"/>
                <w:color w:val="000000"/>
                <w:kern w:val="0"/>
                <w:sz w:val="21"/>
                <w:szCs w:val="21"/>
                <w:lang w:bidi="ar"/>
              </w:rPr>
              <w:t>2025</w:t>
            </w:r>
          </w:p>
        </w:tc>
      </w:tr>
      <w:tr>
        <w:tblPrEx>
          <w:tblCellMar>
            <w:top w:w="0" w:type="dxa"/>
            <w:left w:w="108" w:type="dxa"/>
            <w:bottom w:w="0" w:type="dxa"/>
            <w:right w:w="108" w:type="dxa"/>
          </w:tblCellMar>
        </w:tblPrEx>
        <w:trPr>
          <w:trHeight w:val="340" w:hRule="atLeast"/>
          <w:jc w:val="center"/>
        </w:trPr>
        <w:tc>
          <w:tcPr>
            <w:tcW w:w="2881"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电动公交车</w:t>
            </w:r>
          </w:p>
        </w:tc>
        <w:tc>
          <w:tcPr>
            <w:tcW w:w="1865"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sz w:val="21"/>
                <w:szCs w:val="21"/>
              </w:rPr>
            </w:pPr>
            <w:r>
              <w:rPr>
                <w:rFonts w:eastAsia="宋体" w:cs="Times New Roman"/>
                <w:color w:val="000000"/>
                <w:kern w:val="0"/>
                <w:sz w:val="21"/>
                <w:szCs w:val="21"/>
                <w:lang w:bidi="ar"/>
              </w:rPr>
              <w:t>0</w:t>
            </w:r>
          </w:p>
        </w:tc>
        <w:tc>
          <w:tcPr>
            <w:tcW w:w="1865"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sz w:val="21"/>
                <w:szCs w:val="21"/>
              </w:rPr>
            </w:pPr>
            <w:r>
              <w:rPr>
                <w:rFonts w:eastAsia="宋体" w:cs="Times New Roman"/>
                <w:color w:val="000000"/>
                <w:kern w:val="0"/>
                <w:sz w:val="21"/>
                <w:szCs w:val="21"/>
                <w:lang w:bidi="ar"/>
              </w:rPr>
              <w:t>0</w:t>
            </w:r>
          </w:p>
        </w:tc>
        <w:tc>
          <w:tcPr>
            <w:tcW w:w="1865"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sz w:val="21"/>
                <w:szCs w:val="21"/>
              </w:rPr>
            </w:pPr>
            <w:r>
              <w:rPr>
                <w:rFonts w:eastAsia="宋体" w:cs="Times New Roman"/>
                <w:color w:val="000000"/>
                <w:kern w:val="0"/>
                <w:sz w:val="21"/>
                <w:szCs w:val="21"/>
                <w:lang w:bidi="ar"/>
              </w:rPr>
              <w:t>0</w:t>
            </w:r>
          </w:p>
        </w:tc>
      </w:tr>
      <w:tr>
        <w:tblPrEx>
          <w:tblCellMar>
            <w:top w:w="0" w:type="dxa"/>
            <w:left w:w="108" w:type="dxa"/>
            <w:bottom w:w="0" w:type="dxa"/>
            <w:right w:w="108" w:type="dxa"/>
          </w:tblCellMar>
        </w:tblPrEx>
        <w:trPr>
          <w:trHeight w:val="340" w:hRule="atLeast"/>
          <w:jc w:val="center"/>
        </w:trPr>
        <w:tc>
          <w:tcPr>
            <w:tcW w:w="2881"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电动巡游出租车</w:t>
            </w:r>
          </w:p>
        </w:tc>
        <w:tc>
          <w:tcPr>
            <w:tcW w:w="1865"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1"/>
                <w:szCs w:val="21"/>
                <w:lang w:bidi="ar"/>
              </w:rPr>
            </w:pPr>
            <w:r>
              <w:rPr>
                <w:rFonts w:eastAsia="宋体" w:cs="Times New Roman"/>
                <w:color w:val="000000"/>
                <w:kern w:val="0"/>
                <w:sz w:val="21"/>
                <w:szCs w:val="21"/>
                <w:lang w:bidi="ar"/>
              </w:rPr>
              <w:t>0</w:t>
            </w:r>
          </w:p>
        </w:tc>
        <w:tc>
          <w:tcPr>
            <w:tcW w:w="1865"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1"/>
                <w:szCs w:val="21"/>
                <w:lang w:bidi="ar"/>
              </w:rPr>
            </w:pPr>
            <w:r>
              <w:rPr>
                <w:rFonts w:eastAsia="宋体" w:cs="Times New Roman"/>
                <w:color w:val="000000"/>
                <w:kern w:val="0"/>
                <w:sz w:val="21"/>
                <w:szCs w:val="21"/>
                <w:lang w:bidi="ar"/>
              </w:rPr>
              <w:t>0</w:t>
            </w:r>
          </w:p>
        </w:tc>
        <w:tc>
          <w:tcPr>
            <w:tcW w:w="1865"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1"/>
                <w:szCs w:val="21"/>
                <w:lang w:bidi="ar"/>
              </w:rPr>
            </w:pPr>
            <w:r>
              <w:rPr>
                <w:rFonts w:eastAsia="宋体" w:cs="Times New Roman"/>
                <w:color w:val="000000"/>
                <w:kern w:val="0"/>
                <w:sz w:val="21"/>
                <w:szCs w:val="21"/>
                <w:lang w:bidi="ar"/>
              </w:rPr>
              <w:t>0</w:t>
            </w:r>
          </w:p>
        </w:tc>
      </w:tr>
      <w:tr>
        <w:tblPrEx>
          <w:tblCellMar>
            <w:top w:w="0" w:type="dxa"/>
            <w:left w:w="108" w:type="dxa"/>
            <w:bottom w:w="0" w:type="dxa"/>
            <w:right w:w="108" w:type="dxa"/>
          </w:tblCellMar>
        </w:tblPrEx>
        <w:trPr>
          <w:trHeight w:val="340" w:hRule="atLeast"/>
          <w:jc w:val="center"/>
        </w:trPr>
        <w:tc>
          <w:tcPr>
            <w:tcW w:w="2881"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电动环卫车</w:t>
            </w:r>
          </w:p>
        </w:tc>
        <w:tc>
          <w:tcPr>
            <w:tcW w:w="1865"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1"/>
                <w:szCs w:val="21"/>
                <w:lang w:bidi="ar"/>
              </w:rPr>
            </w:pPr>
            <w:r>
              <w:rPr>
                <w:rFonts w:eastAsia="宋体" w:cs="Times New Roman"/>
                <w:color w:val="000000"/>
                <w:kern w:val="0"/>
                <w:sz w:val="21"/>
                <w:szCs w:val="21"/>
                <w:lang w:bidi="ar"/>
              </w:rPr>
              <w:t>0.0</w:t>
            </w:r>
            <w:r>
              <w:rPr>
                <w:rFonts w:hint="eastAsia" w:eastAsia="宋体" w:cs="Times New Roman"/>
                <w:color w:val="000000"/>
                <w:kern w:val="0"/>
                <w:sz w:val="21"/>
                <w:szCs w:val="21"/>
                <w:lang w:bidi="ar"/>
              </w:rPr>
              <w:t>1</w:t>
            </w:r>
          </w:p>
        </w:tc>
        <w:tc>
          <w:tcPr>
            <w:tcW w:w="1865"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1"/>
                <w:szCs w:val="21"/>
                <w:lang w:bidi="ar"/>
              </w:rPr>
            </w:pPr>
            <w:r>
              <w:rPr>
                <w:rFonts w:eastAsia="宋体" w:cs="Times New Roman"/>
                <w:color w:val="000000"/>
                <w:kern w:val="0"/>
                <w:sz w:val="21"/>
                <w:szCs w:val="21"/>
                <w:lang w:bidi="ar"/>
              </w:rPr>
              <w:t>0.0</w:t>
            </w:r>
            <w:r>
              <w:rPr>
                <w:rFonts w:hint="eastAsia" w:eastAsia="宋体" w:cs="Times New Roman"/>
                <w:color w:val="000000"/>
                <w:kern w:val="0"/>
                <w:sz w:val="21"/>
                <w:szCs w:val="21"/>
                <w:lang w:bidi="ar"/>
              </w:rPr>
              <w:t>1</w:t>
            </w:r>
          </w:p>
        </w:tc>
        <w:tc>
          <w:tcPr>
            <w:tcW w:w="1865"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1"/>
                <w:szCs w:val="21"/>
                <w:lang w:bidi="ar"/>
              </w:rPr>
            </w:pPr>
            <w:r>
              <w:rPr>
                <w:rFonts w:eastAsia="宋体" w:cs="Times New Roman"/>
                <w:color w:val="000000"/>
                <w:kern w:val="0"/>
                <w:sz w:val="21"/>
                <w:szCs w:val="21"/>
                <w:lang w:bidi="ar"/>
              </w:rPr>
              <w:t>0.0</w:t>
            </w:r>
            <w:r>
              <w:rPr>
                <w:rFonts w:hint="eastAsia" w:eastAsia="宋体" w:cs="Times New Roman"/>
                <w:color w:val="000000"/>
                <w:kern w:val="0"/>
                <w:sz w:val="21"/>
                <w:szCs w:val="21"/>
                <w:lang w:bidi="ar"/>
              </w:rPr>
              <w:t>1</w:t>
            </w:r>
          </w:p>
        </w:tc>
      </w:tr>
      <w:tr>
        <w:tblPrEx>
          <w:tblCellMar>
            <w:top w:w="0" w:type="dxa"/>
            <w:left w:w="108" w:type="dxa"/>
            <w:bottom w:w="0" w:type="dxa"/>
            <w:right w:w="108" w:type="dxa"/>
          </w:tblCellMar>
        </w:tblPrEx>
        <w:trPr>
          <w:trHeight w:val="340" w:hRule="atLeast"/>
          <w:jc w:val="center"/>
        </w:trPr>
        <w:tc>
          <w:tcPr>
            <w:tcW w:w="2881"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电动网约车</w:t>
            </w:r>
          </w:p>
        </w:tc>
        <w:tc>
          <w:tcPr>
            <w:tcW w:w="1865"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1"/>
                <w:szCs w:val="21"/>
                <w:lang w:bidi="ar"/>
              </w:rPr>
            </w:pPr>
            <w:r>
              <w:rPr>
                <w:rFonts w:eastAsia="宋体" w:cs="Times New Roman"/>
                <w:color w:val="000000"/>
                <w:kern w:val="0"/>
                <w:sz w:val="21"/>
                <w:szCs w:val="21"/>
                <w:lang w:bidi="ar"/>
              </w:rPr>
              <w:t xml:space="preserve">0.40 </w:t>
            </w:r>
          </w:p>
        </w:tc>
        <w:tc>
          <w:tcPr>
            <w:tcW w:w="1865"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1"/>
                <w:szCs w:val="21"/>
                <w:lang w:bidi="ar"/>
              </w:rPr>
            </w:pPr>
            <w:r>
              <w:rPr>
                <w:rFonts w:eastAsia="宋体" w:cs="Times New Roman"/>
                <w:color w:val="000000"/>
                <w:kern w:val="0"/>
                <w:sz w:val="21"/>
                <w:szCs w:val="21"/>
                <w:lang w:bidi="ar"/>
              </w:rPr>
              <w:t>0.</w:t>
            </w:r>
            <w:r>
              <w:rPr>
                <w:rFonts w:hint="eastAsia" w:eastAsia="宋体" w:cs="Times New Roman"/>
                <w:color w:val="000000"/>
                <w:kern w:val="0"/>
                <w:sz w:val="21"/>
                <w:szCs w:val="21"/>
                <w:lang w:bidi="ar"/>
              </w:rPr>
              <w:t>48</w:t>
            </w:r>
          </w:p>
        </w:tc>
        <w:tc>
          <w:tcPr>
            <w:tcW w:w="1865"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1"/>
                <w:szCs w:val="21"/>
                <w:lang w:bidi="ar"/>
              </w:rPr>
            </w:pPr>
            <w:r>
              <w:rPr>
                <w:rFonts w:eastAsia="宋体" w:cs="Times New Roman"/>
                <w:color w:val="000000"/>
                <w:kern w:val="0"/>
                <w:sz w:val="21"/>
                <w:szCs w:val="21"/>
                <w:lang w:bidi="ar"/>
              </w:rPr>
              <w:t>0.</w:t>
            </w:r>
            <w:r>
              <w:rPr>
                <w:rFonts w:hint="eastAsia" w:eastAsia="宋体" w:cs="Times New Roman"/>
                <w:color w:val="000000"/>
                <w:kern w:val="0"/>
                <w:sz w:val="21"/>
                <w:szCs w:val="21"/>
                <w:lang w:bidi="ar"/>
              </w:rPr>
              <w:t>48</w:t>
            </w:r>
          </w:p>
        </w:tc>
      </w:tr>
      <w:tr>
        <w:tblPrEx>
          <w:tblCellMar>
            <w:top w:w="0" w:type="dxa"/>
            <w:left w:w="108" w:type="dxa"/>
            <w:bottom w:w="0" w:type="dxa"/>
            <w:right w:w="108" w:type="dxa"/>
          </w:tblCellMar>
        </w:tblPrEx>
        <w:trPr>
          <w:trHeight w:val="340" w:hRule="atLeast"/>
          <w:jc w:val="center"/>
        </w:trPr>
        <w:tc>
          <w:tcPr>
            <w:tcW w:w="2881"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电动物流车</w:t>
            </w:r>
          </w:p>
        </w:tc>
        <w:tc>
          <w:tcPr>
            <w:tcW w:w="1865"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1"/>
                <w:szCs w:val="21"/>
                <w:lang w:bidi="ar"/>
              </w:rPr>
            </w:pPr>
            <w:r>
              <w:rPr>
                <w:rFonts w:eastAsia="宋体" w:cs="Times New Roman"/>
                <w:color w:val="000000"/>
                <w:kern w:val="0"/>
                <w:sz w:val="21"/>
                <w:szCs w:val="21"/>
                <w:lang w:bidi="ar"/>
              </w:rPr>
              <w:t xml:space="preserve">0.96 </w:t>
            </w:r>
          </w:p>
        </w:tc>
        <w:tc>
          <w:tcPr>
            <w:tcW w:w="1865"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1"/>
                <w:szCs w:val="21"/>
                <w:lang w:bidi="ar"/>
              </w:rPr>
            </w:pPr>
            <w:r>
              <w:rPr>
                <w:rFonts w:eastAsia="宋体" w:cs="Times New Roman"/>
                <w:color w:val="000000"/>
                <w:kern w:val="0"/>
                <w:sz w:val="21"/>
                <w:szCs w:val="21"/>
                <w:lang w:bidi="ar"/>
              </w:rPr>
              <w:t xml:space="preserve">1.22 </w:t>
            </w:r>
          </w:p>
        </w:tc>
        <w:tc>
          <w:tcPr>
            <w:tcW w:w="1865"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1"/>
                <w:szCs w:val="21"/>
                <w:lang w:bidi="ar"/>
              </w:rPr>
            </w:pPr>
            <w:r>
              <w:rPr>
                <w:rFonts w:eastAsia="宋体" w:cs="Times New Roman"/>
                <w:color w:val="000000"/>
                <w:kern w:val="0"/>
                <w:sz w:val="21"/>
                <w:szCs w:val="21"/>
                <w:lang w:bidi="ar"/>
              </w:rPr>
              <w:t xml:space="preserve">1.82 </w:t>
            </w:r>
          </w:p>
        </w:tc>
      </w:tr>
      <w:tr>
        <w:tblPrEx>
          <w:tblCellMar>
            <w:top w:w="0" w:type="dxa"/>
            <w:left w:w="108" w:type="dxa"/>
            <w:bottom w:w="0" w:type="dxa"/>
            <w:right w:w="108" w:type="dxa"/>
          </w:tblCellMar>
        </w:tblPrEx>
        <w:trPr>
          <w:trHeight w:val="340" w:hRule="atLeast"/>
          <w:jc w:val="center"/>
        </w:trPr>
        <w:tc>
          <w:tcPr>
            <w:tcW w:w="2881"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电动商砼车</w:t>
            </w:r>
          </w:p>
        </w:tc>
        <w:tc>
          <w:tcPr>
            <w:tcW w:w="1865"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1"/>
                <w:szCs w:val="21"/>
                <w:lang w:bidi="ar"/>
              </w:rPr>
            </w:pPr>
            <w:r>
              <w:rPr>
                <w:rFonts w:eastAsia="宋体" w:cs="Times New Roman"/>
                <w:color w:val="000000"/>
                <w:kern w:val="0"/>
                <w:sz w:val="21"/>
                <w:szCs w:val="21"/>
                <w:lang w:bidi="ar"/>
              </w:rPr>
              <w:t xml:space="preserve">0.05 </w:t>
            </w:r>
          </w:p>
        </w:tc>
        <w:tc>
          <w:tcPr>
            <w:tcW w:w="1865"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1"/>
                <w:szCs w:val="21"/>
                <w:lang w:bidi="ar"/>
              </w:rPr>
            </w:pPr>
            <w:r>
              <w:rPr>
                <w:rFonts w:eastAsia="宋体" w:cs="Times New Roman"/>
                <w:color w:val="000000"/>
                <w:kern w:val="0"/>
                <w:sz w:val="21"/>
                <w:szCs w:val="21"/>
                <w:lang w:bidi="ar"/>
              </w:rPr>
              <w:t>0.07</w:t>
            </w:r>
          </w:p>
        </w:tc>
        <w:tc>
          <w:tcPr>
            <w:tcW w:w="1865"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1"/>
                <w:szCs w:val="21"/>
                <w:lang w:bidi="ar"/>
              </w:rPr>
            </w:pPr>
            <w:r>
              <w:rPr>
                <w:rFonts w:eastAsia="宋体" w:cs="Times New Roman"/>
                <w:color w:val="000000"/>
                <w:kern w:val="0"/>
                <w:sz w:val="21"/>
                <w:szCs w:val="21"/>
                <w:lang w:bidi="ar"/>
              </w:rPr>
              <w:t>0.07</w:t>
            </w:r>
          </w:p>
        </w:tc>
      </w:tr>
      <w:tr>
        <w:tblPrEx>
          <w:tblCellMar>
            <w:top w:w="0" w:type="dxa"/>
            <w:left w:w="108" w:type="dxa"/>
            <w:bottom w:w="0" w:type="dxa"/>
            <w:right w:w="108" w:type="dxa"/>
          </w:tblCellMar>
        </w:tblPrEx>
        <w:trPr>
          <w:trHeight w:val="340" w:hRule="atLeast"/>
          <w:jc w:val="center"/>
        </w:trPr>
        <w:tc>
          <w:tcPr>
            <w:tcW w:w="2881"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其他（含私人车）</w:t>
            </w:r>
          </w:p>
        </w:tc>
        <w:tc>
          <w:tcPr>
            <w:tcW w:w="1865"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1"/>
                <w:szCs w:val="21"/>
                <w:lang w:bidi="ar"/>
              </w:rPr>
            </w:pPr>
            <w:r>
              <w:rPr>
                <w:rFonts w:eastAsia="宋体" w:cs="Times New Roman"/>
                <w:color w:val="000000"/>
                <w:kern w:val="0"/>
                <w:sz w:val="21"/>
                <w:szCs w:val="21"/>
                <w:lang w:bidi="ar"/>
              </w:rPr>
              <w:t xml:space="preserve">11.6 </w:t>
            </w:r>
          </w:p>
        </w:tc>
        <w:tc>
          <w:tcPr>
            <w:tcW w:w="1865"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1"/>
                <w:szCs w:val="21"/>
                <w:lang w:bidi="ar"/>
              </w:rPr>
            </w:pPr>
            <w:r>
              <w:rPr>
                <w:rFonts w:eastAsia="宋体" w:cs="Times New Roman"/>
                <w:color w:val="000000"/>
                <w:kern w:val="0"/>
                <w:sz w:val="21"/>
                <w:szCs w:val="21"/>
                <w:lang w:bidi="ar"/>
              </w:rPr>
              <w:t xml:space="preserve">12.2 </w:t>
            </w:r>
          </w:p>
        </w:tc>
        <w:tc>
          <w:tcPr>
            <w:tcW w:w="1865"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1"/>
                <w:szCs w:val="21"/>
                <w:lang w:bidi="ar"/>
              </w:rPr>
            </w:pPr>
            <w:r>
              <w:rPr>
                <w:rFonts w:eastAsia="宋体" w:cs="Times New Roman"/>
                <w:color w:val="000000"/>
                <w:kern w:val="0"/>
                <w:sz w:val="21"/>
                <w:szCs w:val="21"/>
                <w:lang w:bidi="ar"/>
              </w:rPr>
              <w:t xml:space="preserve">12.6 </w:t>
            </w:r>
          </w:p>
        </w:tc>
      </w:tr>
      <w:tr>
        <w:tblPrEx>
          <w:tblCellMar>
            <w:top w:w="0" w:type="dxa"/>
            <w:left w:w="108" w:type="dxa"/>
            <w:bottom w:w="0" w:type="dxa"/>
            <w:right w:w="108" w:type="dxa"/>
          </w:tblCellMar>
        </w:tblPrEx>
        <w:trPr>
          <w:trHeight w:val="340" w:hRule="atLeast"/>
          <w:jc w:val="center"/>
        </w:trPr>
        <w:tc>
          <w:tcPr>
            <w:tcW w:w="2881"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1"/>
                <w:szCs w:val="21"/>
                <w:lang w:bidi="ar"/>
              </w:rPr>
            </w:pPr>
            <w:bookmarkStart w:id="66" w:name="OLE_LINK1" w:colFirst="1" w:colLast="3"/>
            <w:r>
              <w:rPr>
                <w:rFonts w:hint="eastAsia" w:ascii="宋体" w:hAnsi="宋体" w:eastAsia="宋体" w:cs="宋体"/>
                <w:color w:val="000000"/>
                <w:kern w:val="0"/>
                <w:sz w:val="21"/>
                <w:szCs w:val="21"/>
                <w:lang w:bidi="ar"/>
              </w:rPr>
              <w:t>合计</w:t>
            </w:r>
          </w:p>
        </w:tc>
        <w:tc>
          <w:tcPr>
            <w:tcW w:w="1865"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1"/>
                <w:szCs w:val="21"/>
                <w:lang w:bidi="ar"/>
              </w:rPr>
            </w:pPr>
            <w:r>
              <w:rPr>
                <w:rFonts w:eastAsia="宋体" w:cs="Times New Roman"/>
                <w:color w:val="000000"/>
                <w:kern w:val="0"/>
                <w:sz w:val="21"/>
                <w:szCs w:val="21"/>
                <w:lang w:bidi="ar"/>
              </w:rPr>
              <w:t xml:space="preserve">13.0 </w:t>
            </w:r>
          </w:p>
        </w:tc>
        <w:tc>
          <w:tcPr>
            <w:tcW w:w="1865"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1"/>
                <w:szCs w:val="21"/>
                <w:lang w:bidi="ar"/>
              </w:rPr>
            </w:pPr>
            <w:r>
              <w:rPr>
                <w:rFonts w:eastAsia="宋体" w:cs="Times New Roman"/>
                <w:color w:val="000000"/>
                <w:kern w:val="0"/>
                <w:sz w:val="21"/>
                <w:szCs w:val="21"/>
                <w:lang w:bidi="ar"/>
              </w:rPr>
              <w:t xml:space="preserve">14.0 </w:t>
            </w:r>
          </w:p>
        </w:tc>
        <w:tc>
          <w:tcPr>
            <w:tcW w:w="1865"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1"/>
                <w:szCs w:val="21"/>
                <w:lang w:bidi="ar"/>
              </w:rPr>
            </w:pPr>
            <w:r>
              <w:rPr>
                <w:rFonts w:eastAsia="宋体" w:cs="Times New Roman"/>
                <w:color w:val="000000"/>
                <w:kern w:val="0"/>
                <w:sz w:val="21"/>
                <w:szCs w:val="21"/>
                <w:lang w:bidi="ar"/>
              </w:rPr>
              <w:t xml:space="preserve">15.0 </w:t>
            </w:r>
          </w:p>
        </w:tc>
      </w:tr>
      <w:bookmarkEnd w:id="66"/>
    </w:tbl>
    <w:p>
      <w:pPr>
        <w:pStyle w:val="5"/>
        <w:ind w:firstLine="643"/>
      </w:pPr>
      <w:r>
        <w:rPr>
          <w:rFonts w:hint="eastAsia"/>
        </w:rPr>
        <w:t>3.分区域预测</w:t>
      </w:r>
    </w:p>
    <w:p>
      <w:pPr>
        <w:ind w:firstLine="640"/>
      </w:pPr>
      <w:r>
        <w:rPr>
          <w:rFonts w:hint="eastAsia"/>
        </w:rPr>
        <w:t>基于郑州市新能源汽车保有量预测结果，综合考虑各区县（市）生产总值、人口总数、城市建成区域面积、充电基础设施完善度等因素，对郑州市各区县（市）新能源汽车保有量进行预测分析。</w:t>
      </w:r>
    </w:p>
    <w:p>
      <w:pPr>
        <w:ind w:firstLine="640"/>
      </w:pPr>
      <w:r>
        <w:rPr>
          <w:rFonts w:hint="eastAsia"/>
        </w:rPr>
        <w:t>预测公式：某区县新能源汽车保有量市内占比</w:t>
      </w:r>
      <w:r>
        <w:t>=</w:t>
      </w:r>
      <w:r>
        <w:rPr>
          <w:rFonts w:hint="eastAsia"/>
        </w:rPr>
        <w:t>（某区县生产总值占比×100</w:t>
      </w:r>
      <w:r>
        <w:t>+</w:t>
      </w:r>
      <w:r>
        <w:rPr>
          <w:rFonts w:hint="eastAsia"/>
        </w:rPr>
        <w:t>某区县汽车保有量占比×100+某区城市建成面积占比×100+某区充电基础设施占比×100）</w:t>
      </w:r>
      <w:r>
        <w:t>/</w:t>
      </w:r>
      <w:r>
        <w:rPr>
          <w:rFonts w:hint="eastAsia"/>
        </w:rPr>
        <w:t>各区分子计算值之和。</w:t>
      </w:r>
    </w:p>
    <w:p>
      <w:pPr>
        <w:pStyle w:val="6"/>
        <w:spacing w:line="240" w:lineRule="auto"/>
        <w:ind w:firstLine="442" w:firstLineChars="0"/>
        <w:jc w:val="center"/>
        <w:rPr>
          <w:rFonts w:eastAsia="仿宋_GB2312"/>
          <w:b/>
          <w:bCs/>
          <w:sz w:val="24"/>
        </w:rPr>
      </w:pPr>
      <w:r>
        <w:rPr>
          <w:rFonts w:hint="eastAsia" w:eastAsia="仿宋_GB2312"/>
          <w:b/>
          <w:bCs/>
          <w:sz w:val="24"/>
        </w:rPr>
        <w:t>表3-</w:t>
      </w:r>
      <w:r>
        <w:rPr>
          <w:rFonts w:eastAsia="仿宋_GB2312"/>
          <w:b/>
          <w:bCs/>
          <w:sz w:val="24"/>
        </w:rPr>
        <w:t>2</w:t>
      </w:r>
      <w:r>
        <w:rPr>
          <w:rFonts w:hint="eastAsia" w:eastAsia="仿宋_GB2312"/>
          <w:b/>
          <w:bCs/>
          <w:sz w:val="24"/>
        </w:rPr>
        <w:t xml:space="preserve">  2025年底各区县新能源汽车保有量预测</w:t>
      </w:r>
    </w:p>
    <w:tbl>
      <w:tblPr>
        <w:tblStyle w:val="17"/>
        <w:tblW w:w="8509" w:type="dxa"/>
        <w:jc w:val="center"/>
        <w:tblLayout w:type="fixed"/>
        <w:tblCellMar>
          <w:top w:w="0" w:type="dxa"/>
          <w:left w:w="0" w:type="dxa"/>
          <w:bottom w:w="0" w:type="dxa"/>
          <w:right w:w="0" w:type="dxa"/>
        </w:tblCellMar>
      </w:tblPr>
      <w:tblGrid>
        <w:gridCol w:w="3234"/>
        <w:gridCol w:w="3372"/>
        <w:gridCol w:w="1903"/>
      </w:tblGrid>
      <w:tr>
        <w:tblPrEx>
          <w:tblCellMar>
            <w:top w:w="0" w:type="dxa"/>
            <w:left w:w="0" w:type="dxa"/>
            <w:bottom w:w="0" w:type="dxa"/>
            <w:right w:w="0" w:type="dxa"/>
          </w:tblCellMar>
        </w:tblPrEx>
        <w:trPr>
          <w:trHeight w:val="340" w:hRule="atLeast"/>
          <w:jc w:val="center"/>
        </w:trPr>
        <w:tc>
          <w:tcPr>
            <w:tcW w:w="3234"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vAlign w:val="center"/>
          </w:tcPr>
          <w:p>
            <w:pPr>
              <w:widowControl/>
              <w:spacing w:line="240" w:lineRule="auto"/>
              <w:ind w:firstLine="0" w:firstLineChars="0"/>
              <w:jc w:val="center"/>
              <w:textAlignment w:val="center"/>
              <w:rPr>
                <w:rFonts w:ascii="宋体" w:hAnsi="宋体" w:eastAsia="宋体" w:cs="宋体"/>
                <w:color w:val="000000"/>
                <w:kern w:val="0"/>
                <w:sz w:val="24"/>
                <w:lang w:bidi="ar"/>
              </w:rPr>
            </w:pPr>
            <w:bookmarkStart w:id="67" w:name="_Toc15629"/>
            <w:bookmarkStart w:id="68" w:name="_Toc28837"/>
            <w:bookmarkStart w:id="69" w:name="_Toc3905"/>
            <w:bookmarkStart w:id="70" w:name="_Toc10735"/>
            <w:r>
              <w:rPr>
                <w:rFonts w:hint="eastAsia" w:ascii="宋体" w:hAnsi="宋体" w:eastAsia="宋体" w:cs="宋体"/>
                <w:color w:val="000000"/>
                <w:kern w:val="0"/>
                <w:sz w:val="24"/>
                <w:lang w:bidi="ar"/>
              </w:rPr>
              <w:t>主城区</w:t>
            </w:r>
          </w:p>
        </w:tc>
        <w:tc>
          <w:tcPr>
            <w:tcW w:w="3372"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2025年底保有量（万辆）</w:t>
            </w:r>
          </w:p>
        </w:tc>
        <w:tc>
          <w:tcPr>
            <w:tcW w:w="1903"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占比%</w:t>
            </w:r>
          </w:p>
        </w:tc>
      </w:tr>
      <w:tr>
        <w:tblPrEx>
          <w:tblCellMar>
            <w:top w:w="0" w:type="dxa"/>
            <w:left w:w="0" w:type="dxa"/>
            <w:bottom w:w="0" w:type="dxa"/>
            <w:right w:w="0" w:type="dxa"/>
          </w:tblCellMar>
        </w:tblPrEx>
        <w:trPr>
          <w:trHeight w:val="340" w:hRule="atLeast"/>
          <w:jc w:val="center"/>
        </w:trPr>
        <w:tc>
          <w:tcPr>
            <w:tcW w:w="3234" w:type="dxa"/>
            <w:tcBorders>
              <w:top w:val="nil"/>
              <w:left w:val="single" w:color="000000" w:sz="8" w:space="0"/>
              <w:bottom w:val="single" w:color="auto" w:sz="4" w:space="0"/>
              <w:right w:val="single" w:color="000000"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中原区</w:t>
            </w:r>
          </w:p>
        </w:tc>
        <w:tc>
          <w:tcPr>
            <w:tcW w:w="3372" w:type="dxa"/>
            <w:tcBorders>
              <w:top w:val="nil"/>
              <w:left w:val="single" w:color="000000" w:sz="8" w:space="0"/>
              <w:bottom w:val="single" w:color="auto" w:sz="4"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4.7</w:t>
            </w:r>
          </w:p>
        </w:tc>
        <w:tc>
          <w:tcPr>
            <w:tcW w:w="1903" w:type="dxa"/>
            <w:tcBorders>
              <w:top w:val="nil"/>
              <w:left w:val="single" w:color="000000" w:sz="8" w:space="0"/>
              <w:bottom w:val="single" w:color="auto" w:sz="4"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7%</w:t>
            </w:r>
          </w:p>
        </w:tc>
      </w:tr>
      <w:tr>
        <w:tblPrEx>
          <w:tblCellMar>
            <w:top w:w="0" w:type="dxa"/>
            <w:left w:w="0" w:type="dxa"/>
            <w:bottom w:w="0" w:type="dxa"/>
            <w:right w:w="0" w:type="dxa"/>
          </w:tblCellMar>
        </w:tblPrEx>
        <w:trPr>
          <w:trHeight w:val="316" w:hRule="atLeast"/>
          <w:jc w:val="center"/>
        </w:trPr>
        <w:tc>
          <w:tcPr>
            <w:tcW w:w="3234" w:type="dxa"/>
            <w:tcBorders>
              <w:top w:val="single" w:color="auto" w:sz="4" w:space="0"/>
              <w:left w:val="single" w:color="auto" w:sz="4"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二七区</w:t>
            </w:r>
          </w:p>
        </w:tc>
        <w:tc>
          <w:tcPr>
            <w:tcW w:w="3372"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4.9</w:t>
            </w:r>
          </w:p>
        </w:tc>
        <w:tc>
          <w:tcPr>
            <w:tcW w:w="1903" w:type="dxa"/>
            <w:tcBorders>
              <w:top w:val="single" w:color="auto" w:sz="4" w:space="0"/>
              <w:left w:val="single" w:color="000000" w:sz="8" w:space="0"/>
              <w:bottom w:val="single" w:color="000000" w:sz="8" w:space="0"/>
              <w:right w:val="single" w:color="auto" w:sz="4"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7%</w:t>
            </w:r>
          </w:p>
        </w:tc>
      </w:tr>
      <w:tr>
        <w:tblPrEx>
          <w:tblCellMar>
            <w:top w:w="0" w:type="dxa"/>
            <w:left w:w="0" w:type="dxa"/>
            <w:bottom w:w="0" w:type="dxa"/>
            <w:right w:w="0" w:type="dxa"/>
          </w:tblCellMar>
        </w:tblPrEx>
        <w:trPr>
          <w:trHeight w:val="340" w:hRule="atLeast"/>
          <w:jc w:val="center"/>
        </w:trPr>
        <w:tc>
          <w:tcPr>
            <w:tcW w:w="3234" w:type="dxa"/>
            <w:tcBorders>
              <w:top w:val="nil"/>
              <w:left w:val="single" w:color="auto" w:sz="4" w:space="0"/>
              <w:bottom w:val="single" w:color="auto" w:sz="4" w:space="0"/>
              <w:right w:val="single" w:color="000000"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管城回族区</w:t>
            </w:r>
          </w:p>
        </w:tc>
        <w:tc>
          <w:tcPr>
            <w:tcW w:w="3372" w:type="dxa"/>
            <w:tcBorders>
              <w:top w:val="nil"/>
              <w:left w:val="single" w:color="000000" w:sz="8" w:space="0"/>
              <w:bottom w:val="single" w:color="auto" w:sz="4"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4.3</w:t>
            </w:r>
          </w:p>
        </w:tc>
        <w:tc>
          <w:tcPr>
            <w:tcW w:w="1903" w:type="dxa"/>
            <w:tcBorders>
              <w:top w:val="nil"/>
              <w:left w:val="single" w:color="000000" w:sz="8"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6%</w:t>
            </w:r>
          </w:p>
        </w:tc>
      </w:tr>
      <w:tr>
        <w:tblPrEx>
          <w:tblCellMar>
            <w:top w:w="0" w:type="dxa"/>
            <w:left w:w="0" w:type="dxa"/>
            <w:bottom w:w="0" w:type="dxa"/>
            <w:right w:w="0" w:type="dxa"/>
          </w:tblCellMar>
        </w:tblPrEx>
        <w:trPr>
          <w:trHeight w:val="340" w:hRule="atLeast"/>
          <w:jc w:val="center"/>
        </w:trPr>
        <w:tc>
          <w:tcPr>
            <w:tcW w:w="3234"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金水区</w:t>
            </w:r>
          </w:p>
        </w:tc>
        <w:tc>
          <w:tcPr>
            <w:tcW w:w="3372"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7.0</w:t>
            </w:r>
          </w:p>
        </w:tc>
        <w:tc>
          <w:tcPr>
            <w:tcW w:w="1903"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10%</w:t>
            </w:r>
          </w:p>
        </w:tc>
      </w:tr>
      <w:tr>
        <w:tblPrEx>
          <w:tblCellMar>
            <w:top w:w="0" w:type="dxa"/>
            <w:left w:w="0" w:type="dxa"/>
            <w:bottom w:w="0" w:type="dxa"/>
            <w:right w:w="0" w:type="dxa"/>
          </w:tblCellMar>
        </w:tblPrEx>
        <w:trPr>
          <w:trHeight w:val="340" w:hRule="atLeast"/>
          <w:jc w:val="center"/>
        </w:trPr>
        <w:tc>
          <w:tcPr>
            <w:tcW w:w="3234"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惠济区</w:t>
            </w:r>
          </w:p>
        </w:tc>
        <w:tc>
          <w:tcPr>
            <w:tcW w:w="3372"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2.9</w:t>
            </w:r>
          </w:p>
        </w:tc>
        <w:tc>
          <w:tcPr>
            <w:tcW w:w="1903"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4%</w:t>
            </w:r>
          </w:p>
        </w:tc>
      </w:tr>
      <w:tr>
        <w:tblPrEx>
          <w:tblCellMar>
            <w:top w:w="0" w:type="dxa"/>
            <w:left w:w="0" w:type="dxa"/>
            <w:bottom w:w="0" w:type="dxa"/>
            <w:right w:w="0" w:type="dxa"/>
          </w:tblCellMar>
        </w:tblPrEx>
        <w:trPr>
          <w:trHeight w:val="340" w:hRule="atLeast"/>
          <w:jc w:val="center"/>
        </w:trPr>
        <w:tc>
          <w:tcPr>
            <w:tcW w:w="3234"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经开区</w:t>
            </w:r>
          </w:p>
        </w:tc>
        <w:tc>
          <w:tcPr>
            <w:tcW w:w="3372"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4.7</w:t>
            </w:r>
          </w:p>
        </w:tc>
        <w:tc>
          <w:tcPr>
            <w:tcW w:w="1903"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7%</w:t>
            </w:r>
          </w:p>
        </w:tc>
      </w:tr>
      <w:tr>
        <w:tblPrEx>
          <w:tblCellMar>
            <w:top w:w="0" w:type="dxa"/>
            <w:left w:w="0" w:type="dxa"/>
            <w:bottom w:w="0" w:type="dxa"/>
            <w:right w:w="0" w:type="dxa"/>
          </w:tblCellMar>
        </w:tblPrEx>
        <w:trPr>
          <w:trHeight w:val="340" w:hRule="atLeast"/>
          <w:jc w:val="center"/>
        </w:trPr>
        <w:tc>
          <w:tcPr>
            <w:tcW w:w="3234"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高新区</w:t>
            </w:r>
          </w:p>
        </w:tc>
        <w:tc>
          <w:tcPr>
            <w:tcW w:w="3372"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2.9</w:t>
            </w:r>
          </w:p>
        </w:tc>
        <w:tc>
          <w:tcPr>
            <w:tcW w:w="1903"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4%</w:t>
            </w:r>
          </w:p>
        </w:tc>
      </w:tr>
      <w:tr>
        <w:tblPrEx>
          <w:tblCellMar>
            <w:top w:w="0" w:type="dxa"/>
            <w:left w:w="0" w:type="dxa"/>
            <w:bottom w:w="0" w:type="dxa"/>
            <w:right w:w="0" w:type="dxa"/>
          </w:tblCellMar>
        </w:tblPrEx>
        <w:trPr>
          <w:trHeight w:val="340" w:hRule="atLeast"/>
          <w:jc w:val="center"/>
        </w:trPr>
        <w:tc>
          <w:tcPr>
            <w:tcW w:w="3234"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郑东新区</w:t>
            </w:r>
          </w:p>
        </w:tc>
        <w:tc>
          <w:tcPr>
            <w:tcW w:w="3372"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7.1</w:t>
            </w:r>
          </w:p>
        </w:tc>
        <w:tc>
          <w:tcPr>
            <w:tcW w:w="1903"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11%</w:t>
            </w:r>
          </w:p>
        </w:tc>
      </w:tr>
      <w:tr>
        <w:tblPrEx>
          <w:tblCellMar>
            <w:top w:w="0" w:type="dxa"/>
            <w:left w:w="0" w:type="dxa"/>
            <w:bottom w:w="0" w:type="dxa"/>
            <w:right w:w="0" w:type="dxa"/>
          </w:tblCellMar>
        </w:tblPrEx>
        <w:trPr>
          <w:trHeight w:val="340" w:hRule="atLeast"/>
          <w:jc w:val="center"/>
        </w:trPr>
        <w:tc>
          <w:tcPr>
            <w:tcW w:w="3234"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vAlign w:val="center"/>
          </w:tcPr>
          <w:p>
            <w:pPr>
              <w:widowControl/>
              <w:spacing w:line="240" w:lineRule="auto"/>
              <w:ind w:firstLine="0" w:firstLineChars="0"/>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其他区县</w:t>
            </w:r>
          </w:p>
        </w:tc>
        <w:tc>
          <w:tcPr>
            <w:tcW w:w="3372"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2025年底保有量（万辆）</w:t>
            </w:r>
          </w:p>
        </w:tc>
        <w:tc>
          <w:tcPr>
            <w:tcW w:w="1903"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占比%</w:t>
            </w:r>
          </w:p>
        </w:tc>
      </w:tr>
      <w:tr>
        <w:tblPrEx>
          <w:tblCellMar>
            <w:top w:w="0" w:type="dxa"/>
            <w:left w:w="0" w:type="dxa"/>
            <w:bottom w:w="0" w:type="dxa"/>
            <w:right w:w="0" w:type="dxa"/>
          </w:tblCellMar>
        </w:tblPrEx>
        <w:trPr>
          <w:trHeight w:val="340" w:hRule="atLeast"/>
          <w:jc w:val="center"/>
        </w:trPr>
        <w:tc>
          <w:tcPr>
            <w:tcW w:w="3234"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上街区</w:t>
            </w:r>
          </w:p>
        </w:tc>
        <w:tc>
          <w:tcPr>
            <w:tcW w:w="3372"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1.1</w:t>
            </w:r>
          </w:p>
        </w:tc>
        <w:tc>
          <w:tcPr>
            <w:tcW w:w="1903"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2%</w:t>
            </w:r>
          </w:p>
        </w:tc>
      </w:tr>
      <w:tr>
        <w:tblPrEx>
          <w:tblCellMar>
            <w:top w:w="0" w:type="dxa"/>
            <w:left w:w="0" w:type="dxa"/>
            <w:bottom w:w="0" w:type="dxa"/>
            <w:right w:w="0" w:type="dxa"/>
          </w:tblCellMar>
        </w:tblPrEx>
        <w:trPr>
          <w:trHeight w:val="340" w:hRule="atLeast"/>
          <w:jc w:val="center"/>
        </w:trPr>
        <w:tc>
          <w:tcPr>
            <w:tcW w:w="3234"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中牟县</w:t>
            </w:r>
          </w:p>
        </w:tc>
        <w:tc>
          <w:tcPr>
            <w:tcW w:w="3372"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3.1</w:t>
            </w:r>
          </w:p>
        </w:tc>
        <w:tc>
          <w:tcPr>
            <w:tcW w:w="1903"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5%</w:t>
            </w:r>
          </w:p>
        </w:tc>
      </w:tr>
      <w:tr>
        <w:tblPrEx>
          <w:tblCellMar>
            <w:top w:w="0" w:type="dxa"/>
            <w:left w:w="0" w:type="dxa"/>
            <w:bottom w:w="0" w:type="dxa"/>
            <w:right w:w="0" w:type="dxa"/>
          </w:tblCellMar>
        </w:tblPrEx>
        <w:trPr>
          <w:trHeight w:val="340" w:hRule="atLeast"/>
          <w:jc w:val="center"/>
        </w:trPr>
        <w:tc>
          <w:tcPr>
            <w:tcW w:w="3234"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巩义市</w:t>
            </w:r>
          </w:p>
        </w:tc>
        <w:tc>
          <w:tcPr>
            <w:tcW w:w="3372"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3.9</w:t>
            </w:r>
          </w:p>
        </w:tc>
        <w:tc>
          <w:tcPr>
            <w:tcW w:w="1903"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6%</w:t>
            </w:r>
          </w:p>
        </w:tc>
      </w:tr>
      <w:tr>
        <w:tblPrEx>
          <w:tblCellMar>
            <w:top w:w="0" w:type="dxa"/>
            <w:left w:w="0" w:type="dxa"/>
            <w:bottom w:w="0" w:type="dxa"/>
            <w:right w:w="0" w:type="dxa"/>
          </w:tblCellMar>
        </w:tblPrEx>
        <w:trPr>
          <w:trHeight w:val="340" w:hRule="atLeast"/>
          <w:jc w:val="center"/>
        </w:trPr>
        <w:tc>
          <w:tcPr>
            <w:tcW w:w="3234"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荥阳市</w:t>
            </w:r>
          </w:p>
        </w:tc>
        <w:tc>
          <w:tcPr>
            <w:tcW w:w="3372"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3.2</w:t>
            </w:r>
          </w:p>
        </w:tc>
        <w:tc>
          <w:tcPr>
            <w:tcW w:w="1903"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5%</w:t>
            </w:r>
          </w:p>
        </w:tc>
      </w:tr>
      <w:tr>
        <w:tblPrEx>
          <w:tblCellMar>
            <w:top w:w="0" w:type="dxa"/>
            <w:left w:w="0" w:type="dxa"/>
            <w:bottom w:w="0" w:type="dxa"/>
            <w:right w:w="0" w:type="dxa"/>
          </w:tblCellMar>
        </w:tblPrEx>
        <w:trPr>
          <w:trHeight w:val="340" w:hRule="atLeast"/>
          <w:jc w:val="center"/>
        </w:trPr>
        <w:tc>
          <w:tcPr>
            <w:tcW w:w="32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新密市</w:t>
            </w:r>
          </w:p>
        </w:tc>
        <w:tc>
          <w:tcPr>
            <w:tcW w:w="337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3.7</w:t>
            </w:r>
          </w:p>
        </w:tc>
        <w:tc>
          <w:tcPr>
            <w:tcW w:w="190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6%</w:t>
            </w:r>
          </w:p>
        </w:tc>
      </w:tr>
      <w:tr>
        <w:tblPrEx>
          <w:tblCellMar>
            <w:top w:w="0" w:type="dxa"/>
            <w:left w:w="0" w:type="dxa"/>
            <w:bottom w:w="0" w:type="dxa"/>
            <w:right w:w="0" w:type="dxa"/>
          </w:tblCellMar>
        </w:tblPrEx>
        <w:trPr>
          <w:trHeight w:val="340" w:hRule="atLeast"/>
          <w:jc w:val="center"/>
        </w:trPr>
        <w:tc>
          <w:tcPr>
            <w:tcW w:w="32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新郑市</w:t>
            </w:r>
          </w:p>
        </w:tc>
        <w:tc>
          <w:tcPr>
            <w:tcW w:w="337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5.8</w:t>
            </w:r>
          </w:p>
        </w:tc>
        <w:tc>
          <w:tcPr>
            <w:tcW w:w="190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9%</w:t>
            </w:r>
          </w:p>
        </w:tc>
      </w:tr>
      <w:tr>
        <w:tblPrEx>
          <w:tblCellMar>
            <w:top w:w="0" w:type="dxa"/>
            <w:left w:w="0" w:type="dxa"/>
            <w:bottom w:w="0" w:type="dxa"/>
            <w:right w:w="0" w:type="dxa"/>
          </w:tblCellMar>
        </w:tblPrEx>
        <w:trPr>
          <w:trHeight w:val="340" w:hRule="atLeast"/>
          <w:jc w:val="center"/>
        </w:trPr>
        <w:tc>
          <w:tcPr>
            <w:tcW w:w="32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登封市</w:t>
            </w:r>
          </w:p>
        </w:tc>
        <w:tc>
          <w:tcPr>
            <w:tcW w:w="337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3.0</w:t>
            </w:r>
          </w:p>
        </w:tc>
        <w:tc>
          <w:tcPr>
            <w:tcW w:w="190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4%</w:t>
            </w:r>
          </w:p>
        </w:tc>
      </w:tr>
      <w:tr>
        <w:tblPrEx>
          <w:tblCellMar>
            <w:top w:w="0" w:type="dxa"/>
            <w:left w:w="0" w:type="dxa"/>
            <w:bottom w:w="0" w:type="dxa"/>
            <w:right w:w="0" w:type="dxa"/>
          </w:tblCellMar>
        </w:tblPrEx>
        <w:trPr>
          <w:trHeight w:val="340" w:hRule="atLeast"/>
          <w:jc w:val="center"/>
        </w:trPr>
        <w:tc>
          <w:tcPr>
            <w:tcW w:w="32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航空港区</w:t>
            </w:r>
          </w:p>
        </w:tc>
        <w:tc>
          <w:tcPr>
            <w:tcW w:w="337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4.7</w:t>
            </w:r>
          </w:p>
        </w:tc>
        <w:tc>
          <w:tcPr>
            <w:tcW w:w="190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7%</w:t>
            </w:r>
          </w:p>
        </w:tc>
      </w:tr>
      <w:tr>
        <w:tblPrEx>
          <w:tblCellMar>
            <w:top w:w="0" w:type="dxa"/>
            <w:left w:w="0" w:type="dxa"/>
            <w:bottom w:w="0" w:type="dxa"/>
            <w:right w:w="0" w:type="dxa"/>
          </w:tblCellMar>
        </w:tblPrEx>
        <w:trPr>
          <w:trHeight w:val="340" w:hRule="atLeast"/>
          <w:jc w:val="center"/>
        </w:trPr>
        <w:tc>
          <w:tcPr>
            <w:tcW w:w="3234"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vAlign w:val="center"/>
          </w:tcPr>
          <w:p>
            <w:pPr>
              <w:widowControl/>
              <w:spacing w:line="240" w:lineRule="auto"/>
              <w:ind w:firstLine="0" w:firstLineChars="0"/>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合计</w:t>
            </w:r>
          </w:p>
        </w:tc>
        <w:tc>
          <w:tcPr>
            <w:tcW w:w="3372"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67.0</w:t>
            </w:r>
          </w:p>
        </w:tc>
        <w:tc>
          <w:tcPr>
            <w:tcW w:w="1903"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noWrap/>
            <w:vAlign w:val="center"/>
          </w:tcPr>
          <w:p>
            <w:pPr>
              <w:widowControl/>
              <w:spacing w:line="240" w:lineRule="auto"/>
              <w:ind w:firstLine="0" w:firstLineChars="0"/>
              <w:jc w:val="center"/>
              <w:textAlignment w:val="center"/>
              <w:rPr>
                <w:rFonts w:eastAsia="宋体" w:cs="Times New Roman"/>
                <w:color w:val="000000"/>
                <w:kern w:val="0"/>
                <w:sz w:val="24"/>
                <w:lang w:bidi="ar"/>
              </w:rPr>
            </w:pPr>
            <w:r>
              <w:rPr>
                <w:rFonts w:eastAsia="宋体" w:cs="Times New Roman"/>
                <w:color w:val="000000"/>
                <w:kern w:val="0"/>
                <w:sz w:val="24"/>
                <w:lang w:bidi="ar"/>
              </w:rPr>
              <w:t>100%</w:t>
            </w:r>
          </w:p>
        </w:tc>
      </w:tr>
    </w:tbl>
    <w:p>
      <w:pPr>
        <w:pStyle w:val="4"/>
        <w:ind w:firstLine="640"/>
      </w:pPr>
      <w:r>
        <w:rPr>
          <w:rFonts w:hint="eastAsia"/>
        </w:rPr>
        <w:t>（二）充换电设施需求总量预测</w:t>
      </w:r>
      <w:bookmarkEnd w:id="67"/>
      <w:bookmarkEnd w:id="68"/>
      <w:bookmarkEnd w:id="69"/>
      <w:bookmarkEnd w:id="70"/>
    </w:p>
    <w:p>
      <w:pPr>
        <w:pStyle w:val="5"/>
        <w:ind w:firstLine="643"/>
      </w:pPr>
      <w:r>
        <w:rPr>
          <w:rFonts w:hint="eastAsia" w:cs="Times New Roman"/>
        </w:rPr>
        <w:t>1.</w:t>
      </w:r>
      <w:r>
        <w:rPr>
          <w:rFonts w:hint="eastAsia"/>
        </w:rPr>
        <w:t>分车辆配置原则</w:t>
      </w:r>
    </w:p>
    <w:p>
      <w:pPr>
        <w:spacing w:line="580" w:lineRule="exact"/>
        <w:ind w:firstLine="640"/>
        <w:rPr>
          <w:rFonts w:cs="Times New Roman"/>
          <w:szCs w:val="32"/>
        </w:rPr>
      </w:pPr>
      <w:r>
        <w:rPr>
          <w:rFonts w:hint="eastAsia" w:cs="Times New Roman"/>
          <w:szCs w:val="32"/>
        </w:rPr>
        <w:t>公交车、环卫车、重型卡车以在停车场配建的专用充电桩作为主要充电方式，公交车、重型卡车按照车桩比2:1、环卫车按照车桩比3</w:t>
      </w:r>
      <w:r>
        <w:rPr>
          <w:rFonts w:cs="Times New Roman"/>
          <w:szCs w:val="32"/>
        </w:rPr>
        <w:t>:1</w:t>
      </w:r>
      <w:r>
        <w:rPr>
          <w:rFonts w:hint="eastAsia" w:cs="Times New Roman"/>
          <w:szCs w:val="32"/>
        </w:rPr>
        <w:t>建设专用充电设施。</w:t>
      </w:r>
    </w:p>
    <w:p>
      <w:pPr>
        <w:ind w:firstLine="640"/>
        <w:rPr>
          <w:rFonts w:eastAsia="方正仿宋_GB2312"/>
        </w:rPr>
      </w:pPr>
      <w:r>
        <w:rPr>
          <w:rFonts w:hint="eastAsia"/>
        </w:rPr>
        <w:t>私人乘用车以自用充电桩和统建统营充电设施作为主要充电方式，自用充电桩按照车桩比</w:t>
      </w:r>
      <w:r>
        <w:t>1:1</w:t>
      </w:r>
      <w:r>
        <w:rPr>
          <w:rFonts w:hint="eastAsia"/>
        </w:rPr>
        <w:t>建设，统建统营充电设施按照车桩比8:1标准配建。同时由于无法完全配建的实际情况，3</w:t>
      </w:r>
      <w:r>
        <w:t>0%</w:t>
      </w:r>
      <w:r>
        <w:rPr>
          <w:rFonts w:hint="eastAsia"/>
        </w:rPr>
        <w:t>私人乘用车在小区周边设置的公共充电站充电，公共充电站按照车桩比8:1的标准建设。</w:t>
      </w:r>
    </w:p>
    <w:p>
      <w:pPr>
        <w:ind w:firstLine="640"/>
      </w:pPr>
      <w:r>
        <w:rPr>
          <w:rFonts w:hint="eastAsia"/>
        </w:rPr>
        <w:t>企事业单位公务车以单位内部专用充电桩作为主要充电方式，按照车桩比</w:t>
      </w:r>
      <w:r>
        <w:t>2:1</w:t>
      </w:r>
      <w:r>
        <w:rPr>
          <w:rFonts w:hint="eastAsia"/>
        </w:rPr>
        <w:t>建设。</w:t>
      </w:r>
    </w:p>
    <w:p>
      <w:pPr>
        <w:ind w:firstLine="640"/>
        <w:rPr>
          <w:rFonts w:eastAsia="方正仿宋_GB2312"/>
        </w:rPr>
      </w:pPr>
      <w:r>
        <w:rPr>
          <w:rFonts w:hint="eastAsia"/>
        </w:rPr>
        <w:t>出租车、网约车采用公用充电设施作为主要充电方式；物流车具备线路稳定和流动性强双重特点，采用公用充电设施作为充电方式，同时根据场地情况可以配建专用充电设施作为补充。公用充电设施按照8:1配置，专用充电设施按照3:1配置。</w:t>
      </w:r>
    </w:p>
    <w:p>
      <w:pPr>
        <w:ind w:firstLine="640"/>
      </w:pPr>
      <w:r>
        <w:rPr>
          <w:rFonts w:hint="eastAsia"/>
        </w:rPr>
        <w:t>换电车型分为出租车（含巡游出租车、网络预约出租车）和私家车，出租车换电站按照单站服务200辆车进行配建。</w:t>
      </w:r>
    </w:p>
    <w:p>
      <w:pPr>
        <w:pStyle w:val="5"/>
        <w:ind w:firstLine="643"/>
      </w:pPr>
      <w:r>
        <w:rPr>
          <w:rFonts w:hint="eastAsia"/>
        </w:rPr>
        <w:t>2.充电设施配置原则</w:t>
      </w:r>
    </w:p>
    <w:p>
      <w:pPr>
        <w:ind w:firstLine="640"/>
      </w:pPr>
      <w:r>
        <w:rPr>
          <w:rFonts w:hint="eastAsia"/>
        </w:rPr>
        <w:t>私人自用充电桩全部按照慢充配置，统建统营充电设施、单位内部充电设施，以慢充为主快充为辅，快慢充比为1:2。</w:t>
      </w:r>
    </w:p>
    <w:p>
      <w:pPr>
        <w:ind w:firstLine="640"/>
      </w:pPr>
      <w:r>
        <w:rPr>
          <w:rFonts w:hint="eastAsia"/>
        </w:rPr>
        <w:t>公交车、客运车辆、工程车辆耗电量大，对充电时长敏感度高，专用充电设施宜全部采用120kW以上的大功率快充设施。</w:t>
      </w:r>
    </w:p>
    <w:p>
      <w:pPr>
        <w:ind w:firstLine="640"/>
      </w:pPr>
      <w:r>
        <w:rPr>
          <w:rFonts w:hint="eastAsia"/>
        </w:rPr>
        <w:t>公用充电设施宜采用120kW及以上充电桩或者群控式大功率充电桩群，以快充为主慢充为辅，快慢充比为2:1。</w:t>
      </w:r>
    </w:p>
    <w:p>
      <w:pPr>
        <w:pStyle w:val="5"/>
        <w:ind w:firstLine="643"/>
      </w:pPr>
      <w:r>
        <w:rPr>
          <w:rFonts w:hint="eastAsia"/>
        </w:rPr>
        <w:t>3.充换电设施需求总量</w:t>
      </w:r>
    </w:p>
    <w:p>
      <w:pPr>
        <w:ind w:firstLine="640"/>
      </w:pPr>
      <w:r>
        <w:rPr>
          <w:rFonts w:hint="eastAsia"/>
        </w:rPr>
        <w:t>按照以上配置原则，2023-2025年全市需要新建充电设施18.3万个，其中，公用充电设施1.8万个，专用充电设施0.5万个，居民区私人自用充电设施和统建统营充电设施16万个；新建换电站20座。</w:t>
      </w:r>
    </w:p>
    <w:p>
      <w:pPr>
        <w:ind w:firstLine="0" w:firstLineChars="0"/>
        <w:jc w:val="center"/>
      </w:pPr>
      <w:r>
        <w:rPr>
          <w:rFonts w:hint="eastAsia"/>
          <w:b/>
          <w:bCs/>
          <w:sz w:val="24"/>
        </w:rPr>
        <w:t>表3-</w:t>
      </w:r>
      <w:r>
        <w:rPr>
          <w:b/>
          <w:bCs/>
          <w:sz w:val="24"/>
        </w:rPr>
        <w:t>3</w:t>
      </w:r>
      <w:r>
        <w:rPr>
          <w:rFonts w:hint="eastAsia"/>
          <w:b/>
          <w:bCs/>
          <w:sz w:val="24"/>
        </w:rPr>
        <w:t xml:space="preserve">  郑州市2023-2025年充电设施新增量预测</w:t>
      </w:r>
    </w:p>
    <w:tbl>
      <w:tblPr>
        <w:tblStyle w:val="17"/>
        <w:tblW w:w="8855" w:type="dxa"/>
        <w:tblInd w:w="0" w:type="dxa"/>
        <w:tblLayout w:type="fixed"/>
        <w:tblCellMar>
          <w:top w:w="0" w:type="dxa"/>
          <w:left w:w="0" w:type="dxa"/>
          <w:bottom w:w="0" w:type="dxa"/>
          <w:right w:w="0" w:type="dxa"/>
        </w:tblCellMar>
      </w:tblPr>
      <w:tblGrid>
        <w:gridCol w:w="1737"/>
        <w:gridCol w:w="886"/>
        <w:gridCol w:w="886"/>
        <w:gridCol w:w="886"/>
        <w:gridCol w:w="1489"/>
        <w:gridCol w:w="1679"/>
        <w:gridCol w:w="1292"/>
      </w:tblGrid>
      <w:tr>
        <w:tblPrEx>
          <w:tblCellMar>
            <w:top w:w="0" w:type="dxa"/>
            <w:left w:w="0" w:type="dxa"/>
            <w:bottom w:w="0" w:type="dxa"/>
            <w:right w:w="0" w:type="dxa"/>
          </w:tblCellMar>
        </w:tblPrEx>
        <w:trPr>
          <w:trHeight w:val="312" w:hRule="atLeast"/>
          <w:tblHeader/>
        </w:trPr>
        <w:tc>
          <w:tcPr>
            <w:tcW w:w="17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类型</w:t>
            </w:r>
          </w:p>
        </w:tc>
        <w:tc>
          <w:tcPr>
            <w:tcW w:w="8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2023</w:t>
            </w:r>
          </w:p>
        </w:tc>
        <w:tc>
          <w:tcPr>
            <w:tcW w:w="8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2024</w:t>
            </w:r>
          </w:p>
        </w:tc>
        <w:tc>
          <w:tcPr>
            <w:tcW w:w="8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2025</w:t>
            </w:r>
          </w:p>
        </w:tc>
        <w:tc>
          <w:tcPr>
            <w:tcW w:w="148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2023-2025</w:t>
            </w:r>
            <w:r>
              <w:rPr>
                <w:rFonts w:hint="eastAsia" w:ascii="宋体" w:hAnsi="宋体" w:eastAsia="宋体" w:cs="宋体"/>
                <w:sz w:val="22"/>
                <w:szCs w:val="22"/>
              </w:rPr>
              <w:t>新增量（万辆）</w:t>
            </w:r>
          </w:p>
        </w:tc>
        <w:tc>
          <w:tcPr>
            <w:tcW w:w="167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配置比</w:t>
            </w:r>
          </w:p>
        </w:tc>
        <w:tc>
          <w:tcPr>
            <w:tcW w:w="129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充电设施数量（万个）</w:t>
            </w:r>
          </w:p>
        </w:tc>
      </w:tr>
      <w:tr>
        <w:tblPrEx>
          <w:tblCellMar>
            <w:top w:w="0" w:type="dxa"/>
            <w:left w:w="0" w:type="dxa"/>
            <w:bottom w:w="0" w:type="dxa"/>
            <w:right w:w="0" w:type="dxa"/>
          </w:tblCellMar>
        </w:tblPrEx>
        <w:trPr>
          <w:trHeight w:val="312" w:hRule="atLeast"/>
          <w:tblHeader/>
        </w:trPr>
        <w:tc>
          <w:tcPr>
            <w:tcW w:w="17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电动公交车</w:t>
            </w:r>
          </w:p>
        </w:tc>
        <w:tc>
          <w:tcPr>
            <w:tcW w:w="8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0</w:t>
            </w:r>
          </w:p>
        </w:tc>
        <w:tc>
          <w:tcPr>
            <w:tcW w:w="8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0</w:t>
            </w:r>
          </w:p>
        </w:tc>
        <w:tc>
          <w:tcPr>
            <w:tcW w:w="8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0</w:t>
            </w:r>
          </w:p>
        </w:tc>
        <w:tc>
          <w:tcPr>
            <w:tcW w:w="14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ind w:firstLine="0" w:firstLineChars="0"/>
              <w:jc w:val="center"/>
              <w:rPr>
                <w:sz w:val="22"/>
                <w:szCs w:val="22"/>
              </w:rPr>
            </w:pPr>
            <w:r>
              <w:rPr>
                <w:sz w:val="22"/>
                <w:szCs w:val="22"/>
              </w:rPr>
              <w:t>0</w:t>
            </w:r>
          </w:p>
        </w:tc>
        <w:tc>
          <w:tcPr>
            <w:tcW w:w="16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ind w:firstLine="0" w:firstLineChars="0"/>
              <w:jc w:val="center"/>
              <w:rPr>
                <w:sz w:val="22"/>
                <w:szCs w:val="22"/>
              </w:rPr>
            </w:pPr>
            <w:r>
              <w:rPr>
                <w:rFonts w:hint="eastAsia"/>
                <w:sz w:val="22"/>
                <w:szCs w:val="22"/>
              </w:rPr>
              <w:t>2</w:t>
            </w:r>
            <w:r>
              <w:rPr>
                <w:sz w:val="22"/>
                <w:szCs w:val="22"/>
              </w:rPr>
              <w:t>:1</w:t>
            </w:r>
          </w:p>
        </w:tc>
        <w:tc>
          <w:tcPr>
            <w:tcW w:w="129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0.00</w:t>
            </w:r>
          </w:p>
        </w:tc>
      </w:tr>
      <w:tr>
        <w:tblPrEx>
          <w:tblCellMar>
            <w:top w:w="0" w:type="dxa"/>
            <w:left w:w="0" w:type="dxa"/>
            <w:bottom w:w="0" w:type="dxa"/>
            <w:right w:w="0" w:type="dxa"/>
          </w:tblCellMar>
        </w:tblPrEx>
        <w:trPr>
          <w:trHeight w:val="312" w:hRule="atLeast"/>
          <w:tblHeader/>
        </w:trPr>
        <w:tc>
          <w:tcPr>
            <w:tcW w:w="17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电动巡游出租车</w:t>
            </w:r>
          </w:p>
        </w:tc>
        <w:tc>
          <w:tcPr>
            <w:tcW w:w="8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0</w:t>
            </w:r>
          </w:p>
        </w:tc>
        <w:tc>
          <w:tcPr>
            <w:tcW w:w="8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0</w:t>
            </w:r>
          </w:p>
        </w:tc>
        <w:tc>
          <w:tcPr>
            <w:tcW w:w="8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0</w:t>
            </w:r>
          </w:p>
        </w:tc>
        <w:tc>
          <w:tcPr>
            <w:tcW w:w="14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ind w:firstLine="0" w:firstLineChars="0"/>
              <w:jc w:val="center"/>
              <w:rPr>
                <w:sz w:val="22"/>
                <w:szCs w:val="22"/>
              </w:rPr>
            </w:pPr>
            <w:r>
              <w:rPr>
                <w:sz w:val="22"/>
                <w:szCs w:val="22"/>
              </w:rPr>
              <w:t>0</w:t>
            </w:r>
          </w:p>
        </w:tc>
        <w:tc>
          <w:tcPr>
            <w:tcW w:w="16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ind w:firstLine="0" w:firstLineChars="0"/>
              <w:jc w:val="center"/>
              <w:rPr>
                <w:sz w:val="22"/>
                <w:szCs w:val="22"/>
              </w:rPr>
            </w:pPr>
            <w:r>
              <w:rPr>
                <w:sz w:val="22"/>
                <w:szCs w:val="22"/>
              </w:rPr>
              <w:t>8:1</w:t>
            </w:r>
          </w:p>
        </w:tc>
        <w:tc>
          <w:tcPr>
            <w:tcW w:w="129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0.00</w:t>
            </w:r>
          </w:p>
        </w:tc>
      </w:tr>
      <w:tr>
        <w:tblPrEx>
          <w:tblCellMar>
            <w:top w:w="0" w:type="dxa"/>
            <w:left w:w="0" w:type="dxa"/>
            <w:bottom w:w="0" w:type="dxa"/>
            <w:right w:w="0" w:type="dxa"/>
          </w:tblCellMar>
        </w:tblPrEx>
        <w:trPr>
          <w:trHeight w:val="312" w:hRule="atLeast"/>
          <w:tblHeader/>
        </w:trPr>
        <w:tc>
          <w:tcPr>
            <w:tcW w:w="17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电动网约车</w:t>
            </w:r>
          </w:p>
        </w:tc>
        <w:tc>
          <w:tcPr>
            <w:tcW w:w="88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0.4</w:t>
            </w:r>
          </w:p>
        </w:tc>
        <w:tc>
          <w:tcPr>
            <w:tcW w:w="88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0.48</w:t>
            </w:r>
          </w:p>
        </w:tc>
        <w:tc>
          <w:tcPr>
            <w:tcW w:w="88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0.48</w:t>
            </w:r>
          </w:p>
        </w:tc>
        <w:tc>
          <w:tcPr>
            <w:tcW w:w="14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ind w:firstLine="0" w:firstLineChars="0"/>
              <w:jc w:val="center"/>
              <w:rPr>
                <w:sz w:val="22"/>
                <w:szCs w:val="22"/>
              </w:rPr>
            </w:pPr>
            <w:r>
              <w:rPr>
                <w:sz w:val="22"/>
                <w:szCs w:val="22"/>
              </w:rPr>
              <w:t>1.36</w:t>
            </w:r>
          </w:p>
        </w:tc>
        <w:tc>
          <w:tcPr>
            <w:tcW w:w="16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ind w:firstLine="0" w:firstLineChars="0"/>
              <w:jc w:val="center"/>
              <w:rPr>
                <w:sz w:val="22"/>
                <w:szCs w:val="22"/>
              </w:rPr>
            </w:pPr>
            <w:r>
              <w:rPr>
                <w:sz w:val="22"/>
                <w:szCs w:val="22"/>
              </w:rPr>
              <w:t>8:1（</w:t>
            </w:r>
            <w:r>
              <w:rPr>
                <w:rFonts w:hint="eastAsia" w:ascii="宋体" w:hAnsi="宋体" w:eastAsia="宋体" w:cs="宋体"/>
                <w:sz w:val="22"/>
                <w:szCs w:val="22"/>
              </w:rPr>
              <w:t>充电</w:t>
            </w:r>
            <w:r>
              <w:rPr>
                <w:sz w:val="22"/>
                <w:szCs w:val="22"/>
              </w:rPr>
              <w:t>）</w:t>
            </w:r>
          </w:p>
        </w:tc>
        <w:tc>
          <w:tcPr>
            <w:tcW w:w="129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0.1</w:t>
            </w:r>
            <w:r>
              <w:rPr>
                <w:rFonts w:hint="eastAsia"/>
                <w:sz w:val="22"/>
                <w:szCs w:val="22"/>
              </w:rPr>
              <w:t>2</w:t>
            </w:r>
          </w:p>
        </w:tc>
      </w:tr>
      <w:tr>
        <w:tblPrEx>
          <w:tblCellMar>
            <w:top w:w="0" w:type="dxa"/>
            <w:left w:w="0" w:type="dxa"/>
            <w:bottom w:w="0" w:type="dxa"/>
            <w:right w:w="0" w:type="dxa"/>
          </w:tblCellMar>
        </w:tblPrEx>
        <w:trPr>
          <w:trHeight w:val="312" w:hRule="atLeast"/>
          <w:tblHeader/>
        </w:trPr>
        <w:tc>
          <w:tcPr>
            <w:tcW w:w="1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ascii="宋体" w:hAnsi="宋体" w:eastAsia="宋体" w:cs="宋体"/>
                <w:sz w:val="22"/>
                <w:szCs w:val="22"/>
              </w:rPr>
            </w:pPr>
          </w:p>
        </w:tc>
        <w:tc>
          <w:tcPr>
            <w:tcW w:w="88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p>
        </w:tc>
        <w:tc>
          <w:tcPr>
            <w:tcW w:w="88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p>
        </w:tc>
        <w:tc>
          <w:tcPr>
            <w:tcW w:w="88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p>
        </w:tc>
        <w:tc>
          <w:tcPr>
            <w:tcW w:w="14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ind w:firstLine="0" w:firstLineChars="0"/>
              <w:jc w:val="center"/>
              <w:rPr>
                <w:sz w:val="22"/>
                <w:szCs w:val="22"/>
              </w:rPr>
            </w:pPr>
          </w:p>
        </w:tc>
        <w:tc>
          <w:tcPr>
            <w:tcW w:w="16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ind w:firstLine="0" w:firstLineChars="0"/>
              <w:jc w:val="center"/>
              <w:rPr>
                <w:sz w:val="22"/>
                <w:szCs w:val="22"/>
              </w:rPr>
            </w:pPr>
            <w:r>
              <w:rPr>
                <w:sz w:val="22"/>
                <w:szCs w:val="22"/>
              </w:rPr>
              <w:t>200:1（</w:t>
            </w:r>
            <w:r>
              <w:rPr>
                <w:rFonts w:hint="eastAsia" w:ascii="宋体" w:hAnsi="宋体" w:eastAsia="宋体" w:cs="宋体"/>
                <w:sz w:val="22"/>
                <w:szCs w:val="22"/>
              </w:rPr>
              <w:t>换电）</w:t>
            </w:r>
          </w:p>
        </w:tc>
        <w:tc>
          <w:tcPr>
            <w:tcW w:w="129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20</w:t>
            </w:r>
            <w:r>
              <w:rPr>
                <w:rFonts w:hint="eastAsia" w:ascii="宋体" w:hAnsi="宋体" w:eastAsia="宋体" w:cs="宋体"/>
                <w:sz w:val="22"/>
                <w:szCs w:val="22"/>
              </w:rPr>
              <w:t>座</w:t>
            </w:r>
          </w:p>
        </w:tc>
      </w:tr>
      <w:tr>
        <w:tblPrEx>
          <w:tblCellMar>
            <w:top w:w="0" w:type="dxa"/>
            <w:left w:w="0" w:type="dxa"/>
            <w:bottom w:w="0" w:type="dxa"/>
            <w:right w:w="0" w:type="dxa"/>
          </w:tblCellMar>
        </w:tblPrEx>
        <w:trPr>
          <w:trHeight w:val="312" w:hRule="atLeast"/>
          <w:tblHeader/>
        </w:trPr>
        <w:tc>
          <w:tcPr>
            <w:tcW w:w="17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电动物流车</w:t>
            </w:r>
          </w:p>
        </w:tc>
        <w:tc>
          <w:tcPr>
            <w:tcW w:w="88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 xml:space="preserve">0.96 </w:t>
            </w:r>
          </w:p>
        </w:tc>
        <w:tc>
          <w:tcPr>
            <w:tcW w:w="88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 xml:space="preserve">1.22 </w:t>
            </w:r>
          </w:p>
        </w:tc>
        <w:tc>
          <w:tcPr>
            <w:tcW w:w="88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 xml:space="preserve">1.82 </w:t>
            </w:r>
          </w:p>
        </w:tc>
        <w:tc>
          <w:tcPr>
            <w:tcW w:w="14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ind w:firstLine="0" w:firstLineChars="0"/>
              <w:jc w:val="center"/>
              <w:rPr>
                <w:sz w:val="22"/>
                <w:szCs w:val="22"/>
              </w:rPr>
            </w:pPr>
            <w:r>
              <w:rPr>
                <w:sz w:val="22"/>
                <w:szCs w:val="22"/>
              </w:rPr>
              <w:t xml:space="preserve">4.00 </w:t>
            </w:r>
          </w:p>
        </w:tc>
        <w:tc>
          <w:tcPr>
            <w:tcW w:w="16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ind w:firstLine="0" w:firstLineChars="0"/>
              <w:jc w:val="center"/>
              <w:rPr>
                <w:sz w:val="22"/>
                <w:szCs w:val="22"/>
              </w:rPr>
            </w:pPr>
            <w:r>
              <w:rPr>
                <w:sz w:val="22"/>
                <w:szCs w:val="22"/>
              </w:rPr>
              <w:t>8:1</w:t>
            </w:r>
            <w:r>
              <w:rPr>
                <w:rFonts w:hint="eastAsia"/>
                <w:sz w:val="22"/>
                <w:szCs w:val="22"/>
              </w:rPr>
              <w:t>（</w:t>
            </w:r>
            <w:r>
              <w:rPr>
                <w:rFonts w:hint="eastAsia" w:ascii="宋体" w:hAnsi="宋体" w:eastAsia="宋体" w:cs="宋体"/>
                <w:sz w:val="22"/>
                <w:szCs w:val="22"/>
              </w:rPr>
              <w:t>公用</w:t>
            </w:r>
            <w:r>
              <w:rPr>
                <w:rFonts w:hint="eastAsia"/>
                <w:sz w:val="22"/>
                <w:szCs w:val="22"/>
              </w:rPr>
              <w:t>）</w:t>
            </w:r>
          </w:p>
        </w:tc>
        <w:tc>
          <w:tcPr>
            <w:tcW w:w="129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 xml:space="preserve">0.35 </w:t>
            </w:r>
          </w:p>
        </w:tc>
      </w:tr>
      <w:tr>
        <w:tblPrEx>
          <w:tblCellMar>
            <w:top w:w="0" w:type="dxa"/>
            <w:left w:w="0" w:type="dxa"/>
            <w:bottom w:w="0" w:type="dxa"/>
            <w:right w:w="0" w:type="dxa"/>
          </w:tblCellMar>
        </w:tblPrEx>
        <w:trPr>
          <w:trHeight w:val="312" w:hRule="atLeast"/>
          <w:tblHeader/>
        </w:trPr>
        <w:tc>
          <w:tcPr>
            <w:tcW w:w="1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ascii="宋体" w:hAnsi="宋体" w:eastAsia="宋体" w:cs="宋体"/>
                <w:sz w:val="22"/>
                <w:szCs w:val="22"/>
              </w:rPr>
            </w:pPr>
          </w:p>
        </w:tc>
        <w:tc>
          <w:tcPr>
            <w:tcW w:w="88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p>
        </w:tc>
        <w:tc>
          <w:tcPr>
            <w:tcW w:w="88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p>
        </w:tc>
        <w:tc>
          <w:tcPr>
            <w:tcW w:w="88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p>
        </w:tc>
        <w:tc>
          <w:tcPr>
            <w:tcW w:w="14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ind w:firstLine="0" w:firstLineChars="0"/>
              <w:jc w:val="center"/>
              <w:rPr>
                <w:sz w:val="22"/>
                <w:szCs w:val="22"/>
              </w:rPr>
            </w:pPr>
          </w:p>
        </w:tc>
        <w:tc>
          <w:tcPr>
            <w:tcW w:w="16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ind w:firstLine="0" w:firstLineChars="0"/>
              <w:jc w:val="center"/>
              <w:rPr>
                <w:sz w:val="22"/>
                <w:szCs w:val="22"/>
              </w:rPr>
            </w:pPr>
            <w:r>
              <w:rPr>
                <w:sz w:val="22"/>
                <w:szCs w:val="22"/>
              </w:rPr>
              <w:t>3:1</w:t>
            </w:r>
            <w:r>
              <w:rPr>
                <w:rFonts w:hint="eastAsia"/>
                <w:sz w:val="22"/>
                <w:szCs w:val="22"/>
              </w:rPr>
              <w:t>（</w:t>
            </w:r>
            <w:r>
              <w:rPr>
                <w:rFonts w:hint="eastAsia" w:ascii="宋体" w:hAnsi="宋体" w:eastAsia="宋体" w:cs="宋体"/>
                <w:sz w:val="22"/>
                <w:szCs w:val="22"/>
              </w:rPr>
              <w:t>专用</w:t>
            </w:r>
            <w:r>
              <w:rPr>
                <w:rFonts w:hint="eastAsia"/>
                <w:sz w:val="22"/>
                <w:szCs w:val="22"/>
              </w:rPr>
              <w:t>）</w:t>
            </w:r>
          </w:p>
        </w:tc>
        <w:tc>
          <w:tcPr>
            <w:tcW w:w="129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 xml:space="preserve">0.40 </w:t>
            </w:r>
          </w:p>
        </w:tc>
      </w:tr>
      <w:tr>
        <w:tblPrEx>
          <w:tblCellMar>
            <w:top w:w="0" w:type="dxa"/>
            <w:left w:w="0" w:type="dxa"/>
            <w:bottom w:w="0" w:type="dxa"/>
            <w:right w:w="0" w:type="dxa"/>
          </w:tblCellMar>
        </w:tblPrEx>
        <w:trPr>
          <w:trHeight w:val="312" w:hRule="atLeast"/>
          <w:tblHeader/>
        </w:trPr>
        <w:tc>
          <w:tcPr>
            <w:tcW w:w="17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电动环卫车</w:t>
            </w:r>
          </w:p>
        </w:tc>
        <w:tc>
          <w:tcPr>
            <w:tcW w:w="8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 xml:space="preserve">0.01 </w:t>
            </w:r>
          </w:p>
        </w:tc>
        <w:tc>
          <w:tcPr>
            <w:tcW w:w="8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 xml:space="preserve">0.01 </w:t>
            </w:r>
          </w:p>
        </w:tc>
        <w:tc>
          <w:tcPr>
            <w:tcW w:w="8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 xml:space="preserve">0.01 </w:t>
            </w:r>
          </w:p>
        </w:tc>
        <w:tc>
          <w:tcPr>
            <w:tcW w:w="14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ind w:firstLine="0" w:firstLineChars="0"/>
              <w:jc w:val="center"/>
              <w:rPr>
                <w:sz w:val="22"/>
                <w:szCs w:val="22"/>
              </w:rPr>
            </w:pPr>
            <w:r>
              <w:rPr>
                <w:sz w:val="22"/>
                <w:szCs w:val="22"/>
              </w:rPr>
              <w:t>0.03</w:t>
            </w:r>
          </w:p>
        </w:tc>
        <w:tc>
          <w:tcPr>
            <w:tcW w:w="16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ind w:firstLine="0" w:firstLineChars="0"/>
              <w:jc w:val="center"/>
              <w:rPr>
                <w:sz w:val="22"/>
                <w:szCs w:val="22"/>
              </w:rPr>
            </w:pPr>
            <w:r>
              <w:rPr>
                <w:sz w:val="22"/>
                <w:szCs w:val="22"/>
              </w:rPr>
              <w:t>3:1</w:t>
            </w:r>
          </w:p>
        </w:tc>
        <w:tc>
          <w:tcPr>
            <w:tcW w:w="129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 xml:space="preserve">0.01 </w:t>
            </w:r>
          </w:p>
        </w:tc>
      </w:tr>
      <w:tr>
        <w:tblPrEx>
          <w:tblCellMar>
            <w:top w:w="0" w:type="dxa"/>
            <w:left w:w="0" w:type="dxa"/>
            <w:bottom w:w="0" w:type="dxa"/>
            <w:right w:w="0" w:type="dxa"/>
          </w:tblCellMar>
        </w:tblPrEx>
        <w:trPr>
          <w:trHeight w:val="312" w:hRule="atLeast"/>
          <w:tblHeader/>
        </w:trPr>
        <w:tc>
          <w:tcPr>
            <w:tcW w:w="173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电动商砼车</w:t>
            </w:r>
          </w:p>
        </w:tc>
        <w:tc>
          <w:tcPr>
            <w:tcW w:w="8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0.05</w:t>
            </w:r>
          </w:p>
        </w:tc>
        <w:tc>
          <w:tcPr>
            <w:tcW w:w="8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0.07</w:t>
            </w:r>
          </w:p>
        </w:tc>
        <w:tc>
          <w:tcPr>
            <w:tcW w:w="88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0.07</w:t>
            </w:r>
          </w:p>
        </w:tc>
        <w:tc>
          <w:tcPr>
            <w:tcW w:w="14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ind w:firstLine="0" w:firstLineChars="0"/>
              <w:jc w:val="center"/>
              <w:rPr>
                <w:sz w:val="22"/>
                <w:szCs w:val="22"/>
              </w:rPr>
            </w:pPr>
            <w:r>
              <w:rPr>
                <w:sz w:val="22"/>
                <w:szCs w:val="22"/>
              </w:rPr>
              <w:t xml:space="preserve">0.19 </w:t>
            </w:r>
          </w:p>
        </w:tc>
        <w:tc>
          <w:tcPr>
            <w:tcW w:w="16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ind w:firstLine="0" w:firstLineChars="0"/>
              <w:jc w:val="center"/>
              <w:rPr>
                <w:sz w:val="22"/>
                <w:szCs w:val="22"/>
              </w:rPr>
            </w:pPr>
            <w:r>
              <w:rPr>
                <w:sz w:val="22"/>
                <w:szCs w:val="22"/>
              </w:rPr>
              <w:t>3:1</w:t>
            </w:r>
          </w:p>
        </w:tc>
        <w:tc>
          <w:tcPr>
            <w:tcW w:w="129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 xml:space="preserve">0.06 </w:t>
            </w:r>
          </w:p>
        </w:tc>
      </w:tr>
      <w:tr>
        <w:tblPrEx>
          <w:tblCellMar>
            <w:top w:w="0" w:type="dxa"/>
            <w:left w:w="0" w:type="dxa"/>
            <w:bottom w:w="0" w:type="dxa"/>
            <w:right w:w="0" w:type="dxa"/>
          </w:tblCellMar>
        </w:tblPrEx>
        <w:trPr>
          <w:trHeight w:val="312" w:hRule="atLeast"/>
          <w:tblHeader/>
        </w:trPr>
        <w:tc>
          <w:tcPr>
            <w:tcW w:w="173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其他（含私人车）</w:t>
            </w:r>
          </w:p>
        </w:tc>
        <w:tc>
          <w:tcPr>
            <w:tcW w:w="88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 xml:space="preserve">11.6 </w:t>
            </w:r>
          </w:p>
        </w:tc>
        <w:tc>
          <w:tcPr>
            <w:tcW w:w="88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 xml:space="preserve">12.2 </w:t>
            </w:r>
          </w:p>
        </w:tc>
        <w:tc>
          <w:tcPr>
            <w:tcW w:w="88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 xml:space="preserve">12.6 </w:t>
            </w:r>
          </w:p>
        </w:tc>
        <w:tc>
          <w:tcPr>
            <w:tcW w:w="14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ind w:firstLine="0" w:firstLineChars="0"/>
              <w:jc w:val="center"/>
              <w:rPr>
                <w:sz w:val="22"/>
                <w:szCs w:val="22"/>
              </w:rPr>
            </w:pPr>
            <w:r>
              <w:rPr>
                <w:sz w:val="22"/>
                <w:szCs w:val="22"/>
              </w:rPr>
              <w:t xml:space="preserve">36.4 </w:t>
            </w:r>
          </w:p>
        </w:tc>
        <w:tc>
          <w:tcPr>
            <w:tcW w:w="16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ind w:firstLine="0" w:firstLineChars="0"/>
              <w:jc w:val="center"/>
              <w:rPr>
                <w:sz w:val="22"/>
                <w:szCs w:val="22"/>
              </w:rPr>
            </w:pPr>
            <w:r>
              <w:rPr>
                <w:sz w:val="22"/>
                <w:szCs w:val="22"/>
              </w:rPr>
              <w:t>8:1</w:t>
            </w:r>
            <w:r>
              <w:rPr>
                <w:rFonts w:hint="eastAsia"/>
                <w:sz w:val="22"/>
                <w:szCs w:val="22"/>
              </w:rPr>
              <w:t>（</w:t>
            </w:r>
            <w:r>
              <w:rPr>
                <w:rFonts w:hint="eastAsia" w:ascii="宋体" w:hAnsi="宋体" w:eastAsia="宋体" w:cs="宋体"/>
                <w:sz w:val="22"/>
                <w:szCs w:val="22"/>
              </w:rPr>
              <w:t>公用</w:t>
            </w:r>
            <w:r>
              <w:rPr>
                <w:rFonts w:hint="eastAsia"/>
                <w:sz w:val="22"/>
                <w:szCs w:val="22"/>
              </w:rPr>
              <w:t>）</w:t>
            </w:r>
          </w:p>
        </w:tc>
        <w:tc>
          <w:tcPr>
            <w:tcW w:w="129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 xml:space="preserve">1.37 </w:t>
            </w:r>
          </w:p>
        </w:tc>
      </w:tr>
      <w:tr>
        <w:tblPrEx>
          <w:tblCellMar>
            <w:top w:w="0" w:type="dxa"/>
            <w:left w:w="0" w:type="dxa"/>
            <w:bottom w:w="0" w:type="dxa"/>
            <w:right w:w="0" w:type="dxa"/>
          </w:tblCellMar>
        </w:tblPrEx>
        <w:trPr>
          <w:trHeight w:val="312" w:hRule="atLeast"/>
          <w:tblHeader/>
        </w:trPr>
        <w:tc>
          <w:tcPr>
            <w:tcW w:w="1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ascii="宋体" w:hAnsi="宋体" w:eastAsia="宋体" w:cs="宋体"/>
                <w:sz w:val="22"/>
                <w:szCs w:val="22"/>
              </w:rPr>
            </w:pPr>
          </w:p>
        </w:tc>
        <w:tc>
          <w:tcPr>
            <w:tcW w:w="88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p>
        </w:tc>
        <w:tc>
          <w:tcPr>
            <w:tcW w:w="88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p>
        </w:tc>
        <w:tc>
          <w:tcPr>
            <w:tcW w:w="88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p>
        </w:tc>
        <w:tc>
          <w:tcPr>
            <w:tcW w:w="14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ind w:firstLine="0" w:firstLineChars="0"/>
              <w:jc w:val="center"/>
              <w:rPr>
                <w:sz w:val="22"/>
                <w:szCs w:val="22"/>
              </w:rPr>
            </w:pPr>
          </w:p>
        </w:tc>
        <w:tc>
          <w:tcPr>
            <w:tcW w:w="16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ind w:firstLine="0" w:firstLineChars="0"/>
              <w:jc w:val="center"/>
              <w:rPr>
                <w:sz w:val="22"/>
                <w:szCs w:val="22"/>
              </w:rPr>
            </w:pPr>
            <w:r>
              <w:rPr>
                <w:sz w:val="22"/>
                <w:szCs w:val="22"/>
              </w:rPr>
              <w:t>1:1</w:t>
            </w:r>
            <w:r>
              <w:rPr>
                <w:rFonts w:hint="eastAsia"/>
                <w:sz w:val="22"/>
                <w:szCs w:val="22"/>
              </w:rPr>
              <w:t>（</w:t>
            </w:r>
            <w:r>
              <w:rPr>
                <w:rFonts w:hint="eastAsia" w:ascii="宋体" w:hAnsi="宋体" w:eastAsia="宋体" w:cs="宋体"/>
                <w:sz w:val="22"/>
                <w:szCs w:val="22"/>
              </w:rPr>
              <w:t>私人自用</w:t>
            </w:r>
            <w:r>
              <w:rPr>
                <w:rFonts w:hint="eastAsia"/>
                <w:sz w:val="22"/>
                <w:szCs w:val="22"/>
              </w:rPr>
              <w:t>）</w:t>
            </w:r>
          </w:p>
        </w:tc>
        <w:tc>
          <w:tcPr>
            <w:tcW w:w="129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14.</w:t>
            </w:r>
            <w:r>
              <w:rPr>
                <w:rFonts w:hint="eastAsia"/>
                <w:sz w:val="22"/>
                <w:szCs w:val="22"/>
              </w:rPr>
              <w:t>6</w:t>
            </w:r>
          </w:p>
        </w:tc>
      </w:tr>
      <w:tr>
        <w:tblPrEx>
          <w:tblCellMar>
            <w:top w:w="0" w:type="dxa"/>
            <w:left w:w="0" w:type="dxa"/>
            <w:bottom w:w="0" w:type="dxa"/>
            <w:right w:w="0" w:type="dxa"/>
          </w:tblCellMar>
        </w:tblPrEx>
        <w:trPr>
          <w:trHeight w:val="312" w:hRule="atLeast"/>
          <w:tblHeader/>
        </w:trPr>
        <w:tc>
          <w:tcPr>
            <w:tcW w:w="173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ascii="宋体" w:hAnsi="宋体" w:eastAsia="宋体" w:cs="宋体"/>
                <w:sz w:val="22"/>
                <w:szCs w:val="22"/>
              </w:rPr>
            </w:pPr>
          </w:p>
        </w:tc>
        <w:tc>
          <w:tcPr>
            <w:tcW w:w="88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p>
        </w:tc>
        <w:tc>
          <w:tcPr>
            <w:tcW w:w="88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p>
        </w:tc>
        <w:tc>
          <w:tcPr>
            <w:tcW w:w="88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p>
        </w:tc>
        <w:tc>
          <w:tcPr>
            <w:tcW w:w="14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ind w:firstLine="0" w:firstLineChars="0"/>
              <w:jc w:val="center"/>
              <w:rPr>
                <w:sz w:val="22"/>
                <w:szCs w:val="22"/>
              </w:rPr>
            </w:pPr>
          </w:p>
        </w:tc>
        <w:tc>
          <w:tcPr>
            <w:tcW w:w="16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ind w:firstLine="0" w:firstLineChars="0"/>
              <w:jc w:val="center"/>
              <w:rPr>
                <w:sz w:val="22"/>
                <w:szCs w:val="22"/>
              </w:rPr>
            </w:pPr>
            <w:r>
              <w:rPr>
                <w:sz w:val="22"/>
                <w:szCs w:val="22"/>
              </w:rPr>
              <w:t>8:1</w:t>
            </w:r>
            <w:r>
              <w:rPr>
                <w:rFonts w:hint="eastAsia"/>
                <w:sz w:val="22"/>
                <w:szCs w:val="22"/>
              </w:rPr>
              <w:t>（</w:t>
            </w:r>
            <w:r>
              <w:rPr>
                <w:rFonts w:hint="eastAsia" w:ascii="宋体" w:hAnsi="宋体" w:eastAsia="宋体" w:cs="宋体"/>
                <w:sz w:val="22"/>
                <w:szCs w:val="22"/>
              </w:rPr>
              <w:t>统建统营</w:t>
            </w:r>
            <w:r>
              <w:rPr>
                <w:rFonts w:hint="eastAsia"/>
                <w:sz w:val="22"/>
                <w:szCs w:val="22"/>
              </w:rPr>
              <w:t>）</w:t>
            </w:r>
          </w:p>
        </w:tc>
        <w:tc>
          <w:tcPr>
            <w:tcW w:w="129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sz w:val="22"/>
                <w:szCs w:val="22"/>
              </w:rPr>
            </w:pPr>
            <w:r>
              <w:rPr>
                <w:sz w:val="22"/>
                <w:szCs w:val="22"/>
              </w:rPr>
              <w:t>1.</w:t>
            </w:r>
            <w:r>
              <w:rPr>
                <w:rFonts w:hint="eastAsia"/>
                <w:sz w:val="22"/>
                <w:szCs w:val="22"/>
              </w:rPr>
              <w:t>4</w:t>
            </w:r>
          </w:p>
        </w:tc>
      </w:tr>
      <w:tr>
        <w:tblPrEx>
          <w:tblCellMar>
            <w:top w:w="0" w:type="dxa"/>
            <w:left w:w="0" w:type="dxa"/>
            <w:bottom w:w="0" w:type="dxa"/>
            <w:right w:w="0" w:type="dxa"/>
          </w:tblCellMar>
        </w:tblPrEx>
        <w:trPr>
          <w:trHeight w:val="312" w:hRule="atLeast"/>
          <w:tblHeader/>
        </w:trPr>
        <w:tc>
          <w:tcPr>
            <w:tcW w:w="1737"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合计</w:t>
            </w:r>
          </w:p>
        </w:tc>
        <w:tc>
          <w:tcPr>
            <w:tcW w:w="88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spacing w:line="240" w:lineRule="auto"/>
              <w:ind w:firstLine="0" w:firstLineChars="0"/>
              <w:jc w:val="center"/>
              <w:rPr>
                <w:sz w:val="22"/>
                <w:szCs w:val="22"/>
              </w:rPr>
            </w:pPr>
            <w:r>
              <w:rPr>
                <w:sz w:val="22"/>
                <w:szCs w:val="22"/>
              </w:rPr>
              <w:t xml:space="preserve">13.0 </w:t>
            </w:r>
          </w:p>
        </w:tc>
        <w:tc>
          <w:tcPr>
            <w:tcW w:w="88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spacing w:line="240" w:lineRule="auto"/>
              <w:ind w:firstLine="0" w:firstLineChars="0"/>
              <w:jc w:val="center"/>
              <w:rPr>
                <w:sz w:val="22"/>
                <w:szCs w:val="22"/>
              </w:rPr>
            </w:pPr>
            <w:r>
              <w:rPr>
                <w:sz w:val="22"/>
                <w:szCs w:val="22"/>
              </w:rPr>
              <w:t xml:space="preserve">14.0 </w:t>
            </w:r>
          </w:p>
        </w:tc>
        <w:tc>
          <w:tcPr>
            <w:tcW w:w="88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spacing w:line="240" w:lineRule="auto"/>
              <w:ind w:firstLine="0" w:firstLineChars="0"/>
              <w:jc w:val="center"/>
              <w:rPr>
                <w:sz w:val="22"/>
                <w:szCs w:val="22"/>
              </w:rPr>
            </w:pPr>
            <w:r>
              <w:rPr>
                <w:sz w:val="22"/>
                <w:szCs w:val="22"/>
              </w:rPr>
              <w:t xml:space="preserve">15.0 </w:t>
            </w:r>
          </w:p>
        </w:tc>
        <w:tc>
          <w:tcPr>
            <w:tcW w:w="1489"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spacing w:line="240" w:lineRule="auto"/>
              <w:ind w:firstLine="0" w:firstLineChars="0"/>
              <w:jc w:val="center"/>
              <w:rPr>
                <w:sz w:val="22"/>
                <w:szCs w:val="22"/>
              </w:rPr>
            </w:pPr>
            <w:r>
              <w:rPr>
                <w:sz w:val="22"/>
                <w:szCs w:val="22"/>
              </w:rPr>
              <w:t xml:space="preserve">42.0 </w:t>
            </w:r>
          </w:p>
        </w:tc>
        <w:tc>
          <w:tcPr>
            <w:tcW w:w="1679"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pPr>
              <w:spacing w:line="240" w:lineRule="auto"/>
              <w:ind w:firstLine="0" w:firstLineChars="0"/>
              <w:jc w:val="center"/>
              <w:rPr>
                <w:sz w:val="22"/>
                <w:szCs w:val="22"/>
              </w:rPr>
            </w:pPr>
            <w:r>
              <w:rPr>
                <w:sz w:val="22"/>
                <w:szCs w:val="22"/>
              </w:rPr>
              <w:t>/</w:t>
            </w:r>
          </w:p>
        </w:tc>
        <w:tc>
          <w:tcPr>
            <w:tcW w:w="1292"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spacing w:line="240" w:lineRule="auto"/>
              <w:ind w:firstLine="0" w:firstLineChars="0"/>
              <w:jc w:val="center"/>
              <w:rPr>
                <w:sz w:val="22"/>
                <w:szCs w:val="22"/>
              </w:rPr>
            </w:pPr>
            <w:r>
              <w:rPr>
                <w:sz w:val="22"/>
                <w:szCs w:val="22"/>
              </w:rPr>
              <w:t>18.</w:t>
            </w:r>
            <w:r>
              <w:rPr>
                <w:rFonts w:hint="eastAsia"/>
                <w:sz w:val="22"/>
                <w:szCs w:val="22"/>
              </w:rPr>
              <w:t>3</w:t>
            </w:r>
          </w:p>
        </w:tc>
      </w:tr>
    </w:tbl>
    <w:p>
      <w:pPr>
        <w:pStyle w:val="4"/>
        <w:ind w:firstLine="640"/>
      </w:pPr>
      <w:bookmarkStart w:id="71" w:name="_Toc1172"/>
      <w:bookmarkStart w:id="72" w:name="_Toc1838"/>
      <w:bookmarkStart w:id="73" w:name="_Toc9566"/>
      <w:bookmarkStart w:id="74" w:name="_Toc30744"/>
      <w:r>
        <w:rPr>
          <w:rFonts w:hint="eastAsia"/>
        </w:rPr>
        <w:t>（三）居民区充电设施需求预测</w:t>
      </w:r>
      <w:bookmarkEnd w:id="71"/>
      <w:bookmarkEnd w:id="72"/>
      <w:bookmarkEnd w:id="73"/>
      <w:bookmarkEnd w:id="74"/>
    </w:p>
    <w:p>
      <w:pPr>
        <w:ind w:firstLine="640" w:firstLineChars="0"/>
      </w:pPr>
      <w:r>
        <w:rPr>
          <w:rFonts w:hint="eastAsia"/>
        </w:rPr>
        <w:t>居民区充电设施建设以私人自用充电设施为主、统建统营充电设施为辅，私人自用充电设施按照车桩比1:1的标准能装尽装，统建统营充电设施按照小区内电容情况配建。同时由于既有居民区存在私人桩建设难的问题，考虑3</w:t>
      </w:r>
      <w:r>
        <w:t>0%</w:t>
      </w:r>
      <w:r>
        <w:rPr>
          <w:rFonts w:hint="eastAsia"/>
        </w:rPr>
        <w:t>私人乘用车在小区周边设置的公共充电站充电，40%的私人乘用车在社区内配建私人充电设施，30%的私人乘用车按照统建统营模式在社区内配建充电设施。2023-2025年居民区充电设施分年需求如下表。</w:t>
      </w:r>
    </w:p>
    <w:p>
      <w:pPr>
        <w:ind w:firstLine="0" w:firstLineChars="0"/>
        <w:jc w:val="center"/>
        <w:rPr>
          <w:b/>
          <w:bCs/>
          <w:sz w:val="24"/>
        </w:rPr>
      </w:pPr>
      <w:r>
        <w:rPr>
          <w:rFonts w:hint="eastAsia"/>
          <w:b/>
          <w:bCs/>
          <w:sz w:val="24"/>
        </w:rPr>
        <w:t>表3-</w:t>
      </w:r>
      <w:r>
        <w:rPr>
          <w:b/>
          <w:bCs/>
          <w:sz w:val="24"/>
        </w:rPr>
        <w:t>4</w:t>
      </w:r>
      <w:r>
        <w:rPr>
          <w:rFonts w:hint="eastAsia"/>
          <w:b/>
          <w:bCs/>
          <w:sz w:val="24"/>
        </w:rPr>
        <w:t xml:space="preserve">  2023-2025年居民区充电设施需求预测</w:t>
      </w:r>
    </w:p>
    <w:tbl>
      <w:tblPr>
        <w:tblStyle w:val="17"/>
        <w:tblW w:w="8575" w:type="dxa"/>
        <w:jc w:val="center"/>
        <w:tblLayout w:type="fixed"/>
        <w:tblCellMar>
          <w:top w:w="0" w:type="dxa"/>
          <w:left w:w="108" w:type="dxa"/>
          <w:bottom w:w="0" w:type="dxa"/>
          <w:right w:w="108" w:type="dxa"/>
        </w:tblCellMar>
      </w:tblPr>
      <w:tblGrid>
        <w:gridCol w:w="3436"/>
        <w:gridCol w:w="1284"/>
        <w:gridCol w:w="1284"/>
        <w:gridCol w:w="1284"/>
        <w:gridCol w:w="1287"/>
      </w:tblGrid>
      <w:tr>
        <w:tblPrEx>
          <w:tblCellMar>
            <w:top w:w="0" w:type="dxa"/>
            <w:left w:w="108" w:type="dxa"/>
            <w:bottom w:w="0" w:type="dxa"/>
            <w:right w:w="108" w:type="dxa"/>
          </w:tblCellMar>
        </w:tblPrEx>
        <w:trPr>
          <w:trHeight w:val="340" w:hRule="atLeast"/>
          <w:tblHeader/>
          <w:jc w:val="center"/>
        </w:trPr>
        <w:tc>
          <w:tcPr>
            <w:tcW w:w="343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类型</w:t>
            </w:r>
          </w:p>
        </w:tc>
        <w:tc>
          <w:tcPr>
            <w:tcW w:w="128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仿宋" w:cs="Times New Roman"/>
                <w:color w:val="000000"/>
                <w:kern w:val="0"/>
                <w:sz w:val="22"/>
                <w:szCs w:val="22"/>
                <w:lang w:bidi="ar"/>
              </w:rPr>
            </w:pPr>
            <w:r>
              <w:rPr>
                <w:rFonts w:eastAsia="仿宋" w:cs="Times New Roman"/>
                <w:color w:val="000000"/>
                <w:kern w:val="0"/>
                <w:sz w:val="22"/>
                <w:szCs w:val="22"/>
                <w:lang w:bidi="ar"/>
              </w:rPr>
              <w:t>2023</w:t>
            </w:r>
            <w:r>
              <w:rPr>
                <w:rFonts w:hint="eastAsia" w:ascii="宋体" w:hAnsi="宋体" w:eastAsia="宋体" w:cs="宋体"/>
                <w:color w:val="000000"/>
                <w:kern w:val="0"/>
                <w:sz w:val="22"/>
                <w:szCs w:val="22"/>
                <w:lang w:bidi="ar"/>
              </w:rPr>
              <w:t>年</w:t>
            </w:r>
          </w:p>
        </w:tc>
        <w:tc>
          <w:tcPr>
            <w:tcW w:w="128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仿宋" w:cs="Times New Roman"/>
                <w:color w:val="000000"/>
                <w:kern w:val="0"/>
                <w:sz w:val="22"/>
                <w:szCs w:val="22"/>
                <w:lang w:bidi="ar"/>
              </w:rPr>
            </w:pPr>
            <w:r>
              <w:rPr>
                <w:rFonts w:eastAsia="仿宋" w:cs="Times New Roman"/>
                <w:color w:val="000000"/>
                <w:kern w:val="0"/>
                <w:sz w:val="22"/>
                <w:szCs w:val="22"/>
                <w:lang w:bidi="ar"/>
              </w:rPr>
              <w:t>2024</w:t>
            </w:r>
            <w:r>
              <w:rPr>
                <w:rFonts w:hint="eastAsia" w:ascii="宋体" w:hAnsi="宋体" w:eastAsia="宋体" w:cs="宋体"/>
                <w:color w:val="000000"/>
                <w:kern w:val="0"/>
                <w:sz w:val="22"/>
                <w:szCs w:val="22"/>
                <w:lang w:bidi="ar"/>
              </w:rPr>
              <w:t>年</w:t>
            </w:r>
          </w:p>
        </w:tc>
        <w:tc>
          <w:tcPr>
            <w:tcW w:w="128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仿宋" w:cs="Times New Roman"/>
                <w:color w:val="000000"/>
                <w:kern w:val="0"/>
                <w:sz w:val="22"/>
                <w:szCs w:val="22"/>
                <w:lang w:bidi="ar"/>
              </w:rPr>
            </w:pPr>
            <w:r>
              <w:rPr>
                <w:rFonts w:eastAsia="仿宋" w:cs="Times New Roman"/>
                <w:color w:val="000000"/>
                <w:kern w:val="0"/>
                <w:sz w:val="22"/>
                <w:szCs w:val="22"/>
                <w:lang w:bidi="ar"/>
              </w:rPr>
              <w:t>2025</w:t>
            </w:r>
            <w:r>
              <w:rPr>
                <w:rFonts w:hint="eastAsia" w:asciiTheme="minorEastAsia" w:hAnsiTheme="minorEastAsia" w:eastAsiaTheme="minorEastAsia" w:cstheme="minorEastAsia"/>
                <w:color w:val="000000"/>
                <w:kern w:val="0"/>
                <w:sz w:val="22"/>
                <w:szCs w:val="22"/>
                <w:lang w:bidi="ar"/>
              </w:rPr>
              <w:t>年</w:t>
            </w:r>
          </w:p>
        </w:tc>
        <w:tc>
          <w:tcPr>
            <w:tcW w:w="128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ascii="仿宋" w:hAnsi="仿宋" w:eastAsia="仿宋" w:cs="仿宋"/>
                <w:color w:val="000000"/>
                <w:kern w:val="0"/>
                <w:sz w:val="22"/>
                <w:szCs w:val="22"/>
                <w:lang w:bidi="ar"/>
              </w:rPr>
            </w:pPr>
            <w:r>
              <w:rPr>
                <w:rFonts w:hint="eastAsia" w:ascii="宋体" w:hAnsi="宋体" w:eastAsia="宋体" w:cs="宋体"/>
                <w:color w:val="000000"/>
                <w:kern w:val="0"/>
                <w:sz w:val="22"/>
                <w:szCs w:val="22"/>
                <w:lang w:bidi="ar"/>
              </w:rPr>
              <w:t>合计</w:t>
            </w:r>
          </w:p>
        </w:tc>
      </w:tr>
      <w:tr>
        <w:tblPrEx>
          <w:tblCellMar>
            <w:top w:w="0" w:type="dxa"/>
            <w:left w:w="108" w:type="dxa"/>
            <w:bottom w:w="0" w:type="dxa"/>
            <w:right w:w="108" w:type="dxa"/>
          </w:tblCellMar>
        </w:tblPrEx>
        <w:trPr>
          <w:trHeight w:val="340" w:hRule="atLeast"/>
          <w:jc w:val="center"/>
        </w:trPr>
        <w:tc>
          <w:tcPr>
            <w:tcW w:w="343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私人车新增量（万辆）</w:t>
            </w:r>
          </w:p>
        </w:tc>
        <w:tc>
          <w:tcPr>
            <w:tcW w:w="128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仿宋" w:cs="Times New Roman"/>
                <w:color w:val="000000"/>
                <w:kern w:val="0"/>
                <w:sz w:val="22"/>
                <w:szCs w:val="22"/>
                <w:lang w:bidi="ar"/>
              </w:rPr>
            </w:pPr>
            <w:r>
              <w:rPr>
                <w:rFonts w:eastAsia="仿宋" w:cs="Times New Roman"/>
                <w:color w:val="000000"/>
                <w:kern w:val="0"/>
                <w:sz w:val="22"/>
                <w:szCs w:val="22"/>
                <w:lang w:bidi="ar"/>
              </w:rPr>
              <w:t xml:space="preserve">11.6 </w:t>
            </w:r>
          </w:p>
        </w:tc>
        <w:tc>
          <w:tcPr>
            <w:tcW w:w="128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仿宋" w:cs="Times New Roman"/>
                <w:color w:val="000000"/>
                <w:kern w:val="0"/>
                <w:sz w:val="22"/>
                <w:szCs w:val="22"/>
                <w:lang w:bidi="ar"/>
              </w:rPr>
            </w:pPr>
            <w:r>
              <w:rPr>
                <w:rFonts w:eastAsia="仿宋" w:cs="Times New Roman"/>
                <w:color w:val="000000"/>
                <w:kern w:val="0"/>
                <w:sz w:val="22"/>
                <w:szCs w:val="22"/>
                <w:lang w:bidi="ar"/>
              </w:rPr>
              <w:t xml:space="preserve">12.2 </w:t>
            </w:r>
          </w:p>
        </w:tc>
        <w:tc>
          <w:tcPr>
            <w:tcW w:w="128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仿宋" w:cs="Times New Roman"/>
                <w:color w:val="000000"/>
                <w:kern w:val="0"/>
                <w:sz w:val="22"/>
                <w:szCs w:val="22"/>
                <w:lang w:bidi="ar"/>
              </w:rPr>
            </w:pPr>
            <w:r>
              <w:rPr>
                <w:rFonts w:eastAsia="仿宋" w:cs="Times New Roman"/>
                <w:color w:val="000000"/>
                <w:kern w:val="0"/>
                <w:sz w:val="22"/>
                <w:szCs w:val="22"/>
                <w:lang w:bidi="ar"/>
              </w:rPr>
              <w:t xml:space="preserve">12.6 </w:t>
            </w:r>
          </w:p>
        </w:tc>
        <w:tc>
          <w:tcPr>
            <w:tcW w:w="128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仿宋" w:cs="Times New Roman"/>
                <w:color w:val="000000"/>
                <w:kern w:val="0"/>
                <w:sz w:val="22"/>
                <w:szCs w:val="22"/>
                <w:lang w:bidi="ar"/>
              </w:rPr>
            </w:pPr>
            <w:r>
              <w:rPr>
                <w:rFonts w:eastAsia="仿宋" w:cs="Times New Roman"/>
                <w:color w:val="000000"/>
                <w:kern w:val="0"/>
                <w:sz w:val="22"/>
                <w:szCs w:val="22"/>
                <w:lang w:bidi="ar"/>
              </w:rPr>
              <w:t xml:space="preserve">36.4 </w:t>
            </w:r>
          </w:p>
        </w:tc>
      </w:tr>
      <w:tr>
        <w:tblPrEx>
          <w:tblCellMar>
            <w:top w:w="0" w:type="dxa"/>
            <w:left w:w="108" w:type="dxa"/>
            <w:bottom w:w="0" w:type="dxa"/>
            <w:right w:w="108" w:type="dxa"/>
          </w:tblCellMar>
        </w:tblPrEx>
        <w:trPr>
          <w:trHeight w:val="340" w:hRule="atLeast"/>
          <w:jc w:val="center"/>
        </w:trPr>
        <w:tc>
          <w:tcPr>
            <w:tcW w:w="343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居民自用充电设施配建数（万个）</w:t>
            </w:r>
          </w:p>
        </w:tc>
        <w:tc>
          <w:tcPr>
            <w:tcW w:w="128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仿宋" w:cs="Times New Roman"/>
                <w:color w:val="000000"/>
                <w:kern w:val="0"/>
                <w:sz w:val="22"/>
                <w:szCs w:val="22"/>
                <w:lang w:bidi="ar"/>
              </w:rPr>
            </w:pPr>
            <w:r>
              <w:rPr>
                <w:rFonts w:eastAsia="仿宋" w:cs="Times New Roman"/>
                <w:color w:val="000000"/>
                <w:kern w:val="0"/>
                <w:sz w:val="22"/>
                <w:szCs w:val="22"/>
                <w:lang w:bidi="ar"/>
              </w:rPr>
              <w:t xml:space="preserve">4.6 </w:t>
            </w:r>
          </w:p>
        </w:tc>
        <w:tc>
          <w:tcPr>
            <w:tcW w:w="128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仿宋" w:cs="Times New Roman"/>
                <w:color w:val="000000"/>
                <w:kern w:val="0"/>
                <w:sz w:val="22"/>
                <w:szCs w:val="22"/>
                <w:lang w:bidi="ar"/>
              </w:rPr>
            </w:pPr>
            <w:r>
              <w:rPr>
                <w:rFonts w:eastAsia="仿宋" w:cs="Times New Roman"/>
                <w:color w:val="000000"/>
                <w:kern w:val="0"/>
                <w:sz w:val="22"/>
                <w:szCs w:val="22"/>
                <w:lang w:bidi="ar"/>
              </w:rPr>
              <w:t xml:space="preserve">4.9 </w:t>
            </w:r>
          </w:p>
        </w:tc>
        <w:tc>
          <w:tcPr>
            <w:tcW w:w="128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仿宋" w:cs="Times New Roman"/>
                <w:color w:val="000000"/>
                <w:kern w:val="0"/>
                <w:sz w:val="22"/>
                <w:szCs w:val="22"/>
                <w:lang w:bidi="ar"/>
              </w:rPr>
            </w:pPr>
            <w:r>
              <w:rPr>
                <w:rFonts w:eastAsia="仿宋" w:cs="Times New Roman"/>
                <w:color w:val="000000"/>
                <w:kern w:val="0"/>
                <w:sz w:val="22"/>
                <w:szCs w:val="22"/>
                <w:lang w:bidi="ar"/>
              </w:rPr>
              <w:t xml:space="preserve">5.0 </w:t>
            </w:r>
          </w:p>
        </w:tc>
        <w:tc>
          <w:tcPr>
            <w:tcW w:w="128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仿宋" w:cs="Times New Roman"/>
                <w:color w:val="000000"/>
                <w:kern w:val="0"/>
                <w:sz w:val="22"/>
                <w:szCs w:val="22"/>
                <w:lang w:bidi="ar"/>
              </w:rPr>
            </w:pPr>
            <w:r>
              <w:rPr>
                <w:rFonts w:eastAsia="仿宋" w:cs="Times New Roman"/>
                <w:color w:val="000000"/>
                <w:kern w:val="0"/>
                <w:sz w:val="22"/>
                <w:szCs w:val="22"/>
                <w:lang w:bidi="ar"/>
              </w:rPr>
              <w:t xml:space="preserve">14.6 </w:t>
            </w:r>
          </w:p>
        </w:tc>
      </w:tr>
      <w:tr>
        <w:tblPrEx>
          <w:tblCellMar>
            <w:top w:w="0" w:type="dxa"/>
            <w:left w:w="108" w:type="dxa"/>
            <w:bottom w:w="0" w:type="dxa"/>
            <w:right w:w="108" w:type="dxa"/>
          </w:tblCellMar>
        </w:tblPrEx>
        <w:trPr>
          <w:trHeight w:val="340" w:hRule="atLeast"/>
          <w:jc w:val="center"/>
        </w:trPr>
        <w:tc>
          <w:tcPr>
            <w:tcW w:w="343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统建统营充电设施配建数（万个）</w:t>
            </w:r>
          </w:p>
        </w:tc>
        <w:tc>
          <w:tcPr>
            <w:tcW w:w="128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仿宋" w:cs="Times New Roman"/>
                <w:color w:val="000000"/>
                <w:kern w:val="0"/>
                <w:sz w:val="22"/>
                <w:szCs w:val="22"/>
                <w:lang w:bidi="ar"/>
              </w:rPr>
            </w:pPr>
            <w:r>
              <w:rPr>
                <w:rFonts w:eastAsia="仿宋" w:cs="Times New Roman"/>
                <w:color w:val="000000"/>
                <w:kern w:val="0"/>
                <w:sz w:val="22"/>
                <w:szCs w:val="22"/>
                <w:lang w:bidi="ar"/>
              </w:rPr>
              <w:t xml:space="preserve">0.4 </w:t>
            </w:r>
          </w:p>
        </w:tc>
        <w:tc>
          <w:tcPr>
            <w:tcW w:w="128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仿宋" w:cs="Times New Roman"/>
                <w:color w:val="000000"/>
                <w:kern w:val="0"/>
                <w:sz w:val="22"/>
                <w:szCs w:val="22"/>
                <w:lang w:bidi="ar"/>
              </w:rPr>
            </w:pPr>
            <w:r>
              <w:rPr>
                <w:rFonts w:eastAsia="仿宋" w:cs="Times New Roman"/>
                <w:color w:val="000000"/>
                <w:kern w:val="0"/>
                <w:sz w:val="22"/>
                <w:szCs w:val="22"/>
                <w:lang w:bidi="ar"/>
              </w:rPr>
              <w:t xml:space="preserve">0.5 </w:t>
            </w:r>
          </w:p>
        </w:tc>
        <w:tc>
          <w:tcPr>
            <w:tcW w:w="128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仿宋" w:cs="Times New Roman"/>
                <w:color w:val="000000"/>
                <w:kern w:val="0"/>
                <w:sz w:val="22"/>
                <w:szCs w:val="22"/>
                <w:lang w:bidi="ar"/>
              </w:rPr>
            </w:pPr>
            <w:r>
              <w:rPr>
                <w:rFonts w:eastAsia="仿宋" w:cs="Times New Roman"/>
                <w:color w:val="000000"/>
                <w:kern w:val="0"/>
                <w:sz w:val="22"/>
                <w:szCs w:val="22"/>
                <w:lang w:bidi="ar"/>
              </w:rPr>
              <w:t xml:space="preserve">0.5 </w:t>
            </w:r>
          </w:p>
        </w:tc>
        <w:tc>
          <w:tcPr>
            <w:tcW w:w="128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textAlignment w:val="center"/>
              <w:rPr>
                <w:rFonts w:eastAsia="仿宋" w:cs="Times New Roman"/>
                <w:color w:val="000000"/>
                <w:kern w:val="0"/>
                <w:sz w:val="22"/>
                <w:szCs w:val="22"/>
                <w:lang w:bidi="ar"/>
              </w:rPr>
            </w:pPr>
            <w:r>
              <w:rPr>
                <w:rFonts w:eastAsia="仿宋" w:cs="Times New Roman"/>
                <w:color w:val="000000"/>
                <w:kern w:val="0"/>
                <w:sz w:val="22"/>
                <w:szCs w:val="22"/>
                <w:lang w:bidi="ar"/>
              </w:rPr>
              <w:t xml:space="preserve">1.4 </w:t>
            </w:r>
          </w:p>
        </w:tc>
      </w:tr>
    </w:tbl>
    <w:p>
      <w:pPr>
        <w:pStyle w:val="4"/>
        <w:ind w:firstLine="640"/>
      </w:pPr>
      <w:bookmarkStart w:id="75" w:name="_Toc29889"/>
      <w:bookmarkStart w:id="76" w:name="_Toc12185"/>
      <w:bookmarkStart w:id="77" w:name="_Toc4426"/>
      <w:bookmarkStart w:id="78" w:name="_Toc2833"/>
      <w:r>
        <w:rPr>
          <w:rFonts w:hint="eastAsia"/>
        </w:rPr>
        <w:t>（四）乡村地区充电设施需求预测</w:t>
      </w:r>
      <w:bookmarkEnd w:id="75"/>
      <w:bookmarkEnd w:id="76"/>
      <w:bookmarkEnd w:id="77"/>
    </w:p>
    <w:p>
      <w:pPr>
        <w:ind w:firstLine="640"/>
      </w:pPr>
      <w:r>
        <w:rPr>
          <w:rFonts w:hint="eastAsia"/>
        </w:rPr>
        <w:t>我国已建成世界上数量最多、辐射面积最大、服务车辆最全的充电基础设施体系，为新能源汽车快速发展提供了有力保障。但广大农村地区仍存在公共充电基础设施建设不足、居住社区充电设施安装共享难、时段性供需矛盾突出等问题，制约了农村地区新能源汽车消费潜力的释放。按照《关于加快推进充电基础设施建设 更好支持新能源汽车下乡和乡村振兴的实施意见》（发改综合〔2023〕545号）文件要求，适度超前建设充电基础设施，优化新能源汽车购买使用环境，对推动新能源汽车下乡、引导农村地区居民绿色出行、促进乡村全面振兴具有重要意义。</w:t>
      </w:r>
    </w:p>
    <w:p>
      <w:pPr>
        <w:ind w:firstLine="640"/>
      </w:pPr>
      <w:r>
        <w:rPr>
          <w:rFonts w:hint="eastAsia"/>
        </w:rPr>
        <w:t>未来三年，乡镇地区将是新能源汽车增长的热点区域，应加速配建公用充电设施，交通便利的场所以快充为主慢充为辅，靠近居民区、自然村的场所以慢充为主快充为辅。郑州市周边县市现有22个街道、64个镇、10个乡、273个社区、1654个自然村，为了激发农村地区新能源汽车消费潜力，2023年在每个乡镇至少建设1座公用充电站，2024年-2025年加大建设力度，每年按照社区和自然村总量的10%配建公共充电站，单站配建充电设施不少于10个。2023-2025年，在乡镇地区将新增458个充电站、4580个充电设施。</w:t>
      </w:r>
    </w:p>
    <w:p>
      <w:pPr>
        <w:ind w:firstLine="0" w:firstLineChars="0"/>
        <w:jc w:val="center"/>
      </w:pPr>
      <w:r>
        <w:rPr>
          <w:rFonts w:hint="eastAsia"/>
          <w:b/>
          <w:bCs/>
          <w:sz w:val="24"/>
        </w:rPr>
        <w:t>表3-</w:t>
      </w:r>
      <w:r>
        <w:rPr>
          <w:b/>
          <w:bCs/>
          <w:sz w:val="24"/>
        </w:rPr>
        <w:t>5</w:t>
      </w:r>
      <w:r>
        <w:rPr>
          <w:rFonts w:hint="eastAsia"/>
          <w:b/>
          <w:bCs/>
          <w:sz w:val="24"/>
        </w:rPr>
        <w:t xml:space="preserve">  2023-2025年郑州市乡镇地区充电站需求预测（个）</w:t>
      </w:r>
    </w:p>
    <w:tbl>
      <w:tblPr>
        <w:tblStyle w:val="17"/>
        <w:tblW w:w="859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48"/>
        <w:gridCol w:w="1748"/>
        <w:gridCol w:w="1832"/>
        <w:gridCol w:w="1832"/>
        <w:gridCol w:w="18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blHeader/>
          <w:jc w:val="center"/>
        </w:trPr>
        <w:tc>
          <w:tcPr>
            <w:tcW w:w="1348" w:type="dxa"/>
            <w:tcBorders>
              <w:tl2br w:val="nil"/>
              <w:tr2bl w:val="nil"/>
            </w:tcBorders>
            <w:shd w:val="clear" w:color="auto" w:fill="auto"/>
            <w:noWrap/>
            <w:vAlign w:val="center"/>
          </w:tcPr>
          <w:p>
            <w:pPr>
              <w:widowControl/>
              <w:spacing w:line="240" w:lineRule="auto"/>
              <w:ind w:firstLine="0" w:firstLineChars="0"/>
              <w:jc w:val="center"/>
              <w:textAlignment w:val="cente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县（市）</w:t>
            </w:r>
          </w:p>
        </w:tc>
        <w:tc>
          <w:tcPr>
            <w:tcW w:w="1748" w:type="dxa"/>
            <w:tcBorders>
              <w:tl2br w:val="nil"/>
              <w:tr2bl w:val="nil"/>
            </w:tcBorders>
            <w:shd w:val="clear" w:color="auto" w:fill="auto"/>
            <w:noWrap/>
            <w:vAlign w:val="center"/>
          </w:tcPr>
          <w:p>
            <w:pPr>
              <w:widowControl/>
              <w:spacing w:line="240" w:lineRule="auto"/>
              <w:ind w:firstLine="0" w:firstLineChars="0"/>
              <w:jc w:val="center"/>
              <w:textAlignment w:val="center"/>
              <w:rPr>
                <w:rFonts w:ascii="宋体" w:hAnsi="宋体" w:eastAsia="宋体" w:cs="宋体"/>
                <w:b/>
                <w:bCs/>
                <w:color w:val="000000"/>
                <w:kern w:val="0"/>
                <w:sz w:val="22"/>
                <w:szCs w:val="22"/>
                <w:lang w:bidi="ar"/>
              </w:rPr>
            </w:pPr>
            <w:r>
              <w:rPr>
                <w:rFonts w:eastAsia="宋体" w:cs="Times New Roman"/>
                <w:b/>
                <w:bCs/>
                <w:color w:val="000000"/>
                <w:kern w:val="0"/>
                <w:sz w:val="22"/>
                <w:szCs w:val="22"/>
                <w:lang w:bidi="ar"/>
              </w:rPr>
              <w:t>2023</w:t>
            </w:r>
            <w:r>
              <w:rPr>
                <w:rFonts w:hint="eastAsia" w:ascii="宋体" w:hAnsi="宋体" w:eastAsia="宋体" w:cs="宋体"/>
                <w:b/>
                <w:bCs/>
                <w:color w:val="000000"/>
                <w:kern w:val="0"/>
                <w:sz w:val="22"/>
                <w:szCs w:val="22"/>
                <w:lang w:bidi="ar"/>
              </w:rPr>
              <w:t>年</w:t>
            </w:r>
          </w:p>
        </w:tc>
        <w:tc>
          <w:tcPr>
            <w:tcW w:w="1832" w:type="dxa"/>
            <w:tcBorders>
              <w:tl2br w:val="nil"/>
              <w:tr2bl w:val="nil"/>
            </w:tcBorders>
            <w:shd w:val="clear" w:color="auto" w:fill="auto"/>
            <w:noWrap/>
            <w:vAlign w:val="center"/>
          </w:tcPr>
          <w:p>
            <w:pPr>
              <w:widowControl/>
              <w:spacing w:line="240" w:lineRule="auto"/>
              <w:ind w:firstLine="0" w:firstLineChars="0"/>
              <w:jc w:val="center"/>
              <w:textAlignment w:val="center"/>
              <w:rPr>
                <w:rFonts w:ascii="宋体" w:hAnsi="宋体" w:eastAsia="宋体" w:cs="宋体"/>
                <w:b/>
                <w:bCs/>
                <w:color w:val="000000"/>
                <w:kern w:val="0"/>
                <w:sz w:val="22"/>
                <w:szCs w:val="22"/>
                <w:lang w:bidi="ar"/>
              </w:rPr>
            </w:pPr>
            <w:r>
              <w:rPr>
                <w:rFonts w:eastAsia="宋体" w:cs="Times New Roman"/>
                <w:b/>
                <w:bCs/>
                <w:color w:val="000000"/>
                <w:kern w:val="0"/>
                <w:sz w:val="22"/>
                <w:szCs w:val="22"/>
                <w:lang w:bidi="ar"/>
              </w:rPr>
              <w:t>2024</w:t>
            </w:r>
            <w:r>
              <w:rPr>
                <w:rFonts w:hint="eastAsia" w:ascii="宋体" w:hAnsi="宋体" w:eastAsia="宋体" w:cs="宋体"/>
                <w:b/>
                <w:bCs/>
                <w:color w:val="000000"/>
                <w:kern w:val="0"/>
                <w:sz w:val="22"/>
                <w:szCs w:val="22"/>
                <w:lang w:bidi="ar"/>
              </w:rPr>
              <w:t>年</w:t>
            </w:r>
          </w:p>
        </w:tc>
        <w:tc>
          <w:tcPr>
            <w:tcW w:w="1832" w:type="dxa"/>
            <w:tcBorders>
              <w:tl2br w:val="nil"/>
              <w:tr2bl w:val="nil"/>
            </w:tcBorders>
            <w:shd w:val="clear" w:color="auto" w:fill="auto"/>
            <w:noWrap/>
            <w:vAlign w:val="center"/>
          </w:tcPr>
          <w:p>
            <w:pPr>
              <w:widowControl/>
              <w:spacing w:line="240" w:lineRule="auto"/>
              <w:ind w:firstLine="0" w:firstLineChars="0"/>
              <w:jc w:val="center"/>
              <w:textAlignment w:val="center"/>
              <w:rPr>
                <w:rFonts w:ascii="宋体" w:hAnsi="宋体" w:eastAsia="宋体" w:cs="宋体"/>
                <w:b/>
                <w:bCs/>
                <w:color w:val="000000"/>
                <w:kern w:val="0"/>
                <w:sz w:val="22"/>
                <w:szCs w:val="22"/>
                <w:lang w:bidi="ar"/>
              </w:rPr>
            </w:pPr>
            <w:r>
              <w:rPr>
                <w:rFonts w:eastAsia="宋体" w:cs="Times New Roman"/>
                <w:b/>
                <w:bCs/>
                <w:color w:val="000000"/>
                <w:kern w:val="0"/>
                <w:sz w:val="22"/>
                <w:szCs w:val="22"/>
                <w:lang w:bidi="ar"/>
              </w:rPr>
              <w:t>2025</w:t>
            </w:r>
            <w:r>
              <w:rPr>
                <w:rFonts w:hint="eastAsia" w:ascii="宋体" w:hAnsi="宋体" w:eastAsia="宋体" w:cs="宋体"/>
                <w:b/>
                <w:bCs/>
                <w:color w:val="000000"/>
                <w:kern w:val="0"/>
                <w:sz w:val="22"/>
                <w:szCs w:val="22"/>
                <w:lang w:bidi="ar"/>
              </w:rPr>
              <w:t>年</w:t>
            </w:r>
          </w:p>
        </w:tc>
        <w:tc>
          <w:tcPr>
            <w:tcW w:w="1832" w:type="dxa"/>
            <w:tcBorders>
              <w:tl2br w:val="nil"/>
              <w:tr2bl w:val="nil"/>
            </w:tcBorders>
            <w:shd w:val="clear" w:color="auto" w:fill="auto"/>
            <w:noWrap/>
            <w:vAlign w:val="center"/>
          </w:tcPr>
          <w:p>
            <w:pPr>
              <w:widowControl/>
              <w:spacing w:line="240" w:lineRule="auto"/>
              <w:ind w:firstLine="0" w:firstLineChars="0"/>
              <w:jc w:val="center"/>
              <w:textAlignment w:val="cente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blHeader/>
          <w:jc w:val="center"/>
        </w:trPr>
        <w:tc>
          <w:tcPr>
            <w:tcW w:w="1348" w:type="dxa"/>
            <w:tcBorders>
              <w:tl2br w:val="nil"/>
              <w:tr2bl w:val="nil"/>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中牟县</w:t>
            </w:r>
          </w:p>
        </w:tc>
        <w:tc>
          <w:tcPr>
            <w:tcW w:w="1748"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11</w:t>
            </w:r>
          </w:p>
        </w:tc>
        <w:tc>
          <w:tcPr>
            <w:tcW w:w="1832"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29</w:t>
            </w:r>
          </w:p>
        </w:tc>
        <w:tc>
          <w:tcPr>
            <w:tcW w:w="1832"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29</w:t>
            </w:r>
          </w:p>
        </w:tc>
        <w:tc>
          <w:tcPr>
            <w:tcW w:w="1832"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blHeader/>
          <w:jc w:val="center"/>
        </w:trPr>
        <w:tc>
          <w:tcPr>
            <w:tcW w:w="1348" w:type="dxa"/>
            <w:tcBorders>
              <w:tl2br w:val="nil"/>
              <w:tr2bl w:val="nil"/>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巩义市</w:t>
            </w:r>
          </w:p>
        </w:tc>
        <w:tc>
          <w:tcPr>
            <w:tcW w:w="1748"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15</w:t>
            </w:r>
          </w:p>
        </w:tc>
        <w:tc>
          <w:tcPr>
            <w:tcW w:w="1832"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32</w:t>
            </w:r>
          </w:p>
        </w:tc>
        <w:tc>
          <w:tcPr>
            <w:tcW w:w="1832"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32</w:t>
            </w:r>
          </w:p>
        </w:tc>
        <w:tc>
          <w:tcPr>
            <w:tcW w:w="1832"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blHeader/>
          <w:jc w:val="center"/>
        </w:trPr>
        <w:tc>
          <w:tcPr>
            <w:tcW w:w="1348" w:type="dxa"/>
            <w:tcBorders>
              <w:tl2br w:val="nil"/>
              <w:tr2bl w:val="nil"/>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荥阳市</w:t>
            </w:r>
          </w:p>
        </w:tc>
        <w:tc>
          <w:tcPr>
            <w:tcW w:w="1748"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12</w:t>
            </w:r>
          </w:p>
        </w:tc>
        <w:tc>
          <w:tcPr>
            <w:tcW w:w="1832"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31</w:t>
            </w:r>
          </w:p>
        </w:tc>
        <w:tc>
          <w:tcPr>
            <w:tcW w:w="1832"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31</w:t>
            </w:r>
          </w:p>
        </w:tc>
        <w:tc>
          <w:tcPr>
            <w:tcW w:w="1832"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blHeader/>
          <w:jc w:val="center"/>
        </w:trPr>
        <w:tc>
          <w:tcPr>
            <w:tcW w:w="1348" w:type="dxa"/>
            <w:tcBorders>
              <w:tl2br w:val="nil"/>
              <w:tr2bl w:val="nil"/>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新密市</w:t>
            </w:r>
          </w:p>
        </w:tc>
        <w:tc>
          <w:tcPr>
            <w:tcW w:w="1748"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14</w:t>
            </w:r>
          </w:p>
        </w:tc>
        <w:tc>
          <w:tcPr>
            <w:tcW w:w="1832"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36</w:t>
            </w:r>
          </w:p>
        </w:tc>
        <w:tc>
          <w:tcPr>
            <w:tcW w:w="1832"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36</w:t>
            </w:r>
          </w:p>
        </w:tc>
        <w:tc>
          <w:tcPr>
            <w:tcW w:w="1832"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blHeader/>
          <w:jc w:val="center"/>
        </w:trPr>
        <w:tc>
          <w:tcPr>
            <w:tcW w:w="1348" w:type="dxa"/>
            <w:tcBorders>
              <w:tl2br w:val="nil"/>
              <w:tr2bl w:val="nil"/>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新郑市</w:t>
            </w:r>
          </w:p>
        </w:tc>
        <w:tc>
          <w:tcPr>
            <w:tcW w:w="1748"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11</w:t>
            </w:r>
          </w:p>
        </w:tc>
        <w:tc>
          <w:tcPr>
            <w:tcW w:w="1832"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30</w:t>
            </w:r>
          </w:p>
        </w:tc>
        <w:tc>
          <w:tcPr>
            <w:tcW w:w="1832"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30</w:t>
            </w:r>
          </w:p>
        </w:tc>
        <w:tc>
          <w:tcPr>
            <w:tcW w:w="1832"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blHeader/>
          <w:jc w:val="center"/>
        </w:trPr>
        <w:tc>
          <w:tcPr>
            <w:tcW w:w="1348" w:type="dxa"/>
            <w:tcBorders>
              <w:tl2br w:val="nil"/>
              <w:tr2bl w:val="nil"/>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登封市</w:t>
            </w:r>
          </w:p>
        </w:tc>
        <w:tc>
          <w:tcPr>
            <w:tcW w:w="1748"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11</w:t>
            </w:r>
          </w:p>
        </w:tc>
        <w:tc>
          <w:tcPr>
            <w:tcW w:w="1832"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34</w:t>
            </w:r>
          </w:p>
        </w:tc>
        <w:tc>
          <w:tcPr>
            <w:tcW w:w="1832"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34</w:t>
            </w:r>
          </w:p>
        </w:tc>
        <w:tc>
          <w:tcPr>
            <w:tcW w:w="1832"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blHeader/>
          <w:jc w:val="center"/>
        </w:trPr>
        <w:tc>
          <w:tcPr>
            <w:tcW w:w="1348" w:type="dxa"/>
            <w:tcBorders>
              <w:tl2br w:val="nil"/>
              <w:tr2bl w:val="nil"/>
            </w:tcBorders>
            <w:shd w:val="clear" w:color="auto" w:fill="auto"/>
            <w:noWrap/>
            <w:vAlign w:val="center"/>
          </w:tcPr>
          <w:p>
            <w:pPr>
              <w:widowControl/>
              <w:spacing w:line="240" w:lineRule="auto"/>
              <w:ind w:firstLine="0" w:firstLineChars="0"/>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合计</w:t>
            </w:r>
          </w:p>
        </w:tc>
        <w:tc>
          <w:tcPr>
            <w:tcW w:w="1748"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74</w:t>
            </w:r>
          </w:p>
        </w:tc>
        <w:tc>
          <w:tcPr>
            <w:tcW w:w="1832"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192</w:t>
            </w:r>
          </w:p>
        </w:tc>
        <w:tc>
          <w:tcPr>
            <w:tcW w:w="1832"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192</w:t>
            </w:r>
          </w:p>
        </w:tc>
        <w:tc>
          <w:tcPr>
            <w:tcW w:w="1832"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458</w:t>
            </w:r>
          </w:p>
        </w:tc>
      </w:tr>
    </w:tbl>
    <w:p>
      <w:pPr>
        <w:pStyle w:val="4"/>
        <w:ind w:firstLine="640"/>
      </w:pPr>
      <w:bookmarkStart w:id="79" w:name="_Toc7216"/>
      <w:bookmarkStart w:id="80" w:name="_Toc27202"/>
      <w:bookmarkStart w:id="81" w:name="_Toc13280"/>
      <w:r>
        <w:rPr>
          <w:rFonts w:hint="eastAsia"/>
        </w:rPr>
        <w:t>（五）超级充电设施规模预测</w:t>
      </w:r>
      <w:bookmarkEnd w:id="78"/>
      <w:bookmarkEnd w:id="79"/>
      <w:bookmarkEnd w:id="80"/>
      <w:bookmarkEnd w:id="81"/>
    </w:p>
    <w:p>
      <w:pPr>
        <w:ind w:firstLine="640"/>
      </w:pPr>
      <w:r>
        <w:rPr>
          <w:rFonts w:hint="eastAsia"/>
        </w:rPr>
        <w:t>超充技术的推广和应用对于提高用户充电的快捷性和安全性，推动国际标准的统一接口，提升用户的充电体验，加快电动汽车的推广应用具有重要的意义。目前，充电桩行业正处在由低压/低倍率向高压/高倍率的发展进程中，据国内主流车企预测，2023年满足3C以上高压快充高端车型将密集上市，2025年主流车型将均会支持高压快充。</w:t>
      </w:r>
    </w:p>
    <w:p>
      <w:pPr>
        <w:ind w:firstLine="640"/>
      </w:pPr>
      <w:r>
        <w:rPr>
          <w:rFonts w:hint="eastAsia"/>
        </w:rPr>
        <w:t>自2020年开始，国内外主流新能源汽车生产企业陆续公布高压快充车型研究进度，随着800V高压技术平台的车型进入量产阶段，主机厂积极自建超充网络配套，驱动超充充电桩建设加速。根据华为技术有限公司、中国电力企业联合会、中国电动汽车百人会等多家单位共同编制《中国高压快充产业发展报告（2023-2025）》，2025年高压快充车型渗透率将达到38%左右。</w:t>
      </w:r>
    </w:p>
    <w:p>
      <w:pPr>
        <w:ind w:firstLine="640"/>
      </w:pPr>
      <w:r>
        <w:rPr>
          <w:rFonts w:hint="eastAsia"/>
        </w:rPr>
        <w:t>因此，为推动本市新能源汽车市场高质量发展，在公用充电设施领域应加大超充技术应用，推广区域优先选择交通便利区和车辆集中区，如高速服务区、主干道沿线停车场、城市商业区等。2023年-2025年分别按照当年新增新能源私人乘用车的30%的比例进行配建，每年需要建设100座超级充电站。</w:t>
      </w:r>
    </w:p>
    <w:p>
      <w:pPr>
        <w:pStyle w:val="3"/>
        <w:ind w:firstLine="640"/>
      </w:pPr>
      <w:bookmarkStart w:id="82" w:name="_Toc26033"/>
      <w:r>
        <w:rPr>
          <w:rFonts w:hint="eastAsia"/>
        </w:rPr>
        <w:t>四、合规性分析</w:t>
      </w:r>
    </w:p>
    <w:p>
      <w:pPr>
        <w:pStyle w:val="4"/>
        <w:ind w:firstLine="640"/>
      </w:pPr>
      <w:bookmarkStart w:id="83" w:name="_Toc29368"/>
      <w:r>
        <w:rPr>
          <w:rFonts w:hint="eastAsia"/>
        </w:rPr>
        <w:t>（一）用地符合性分析</w:t>
      </w:r>
      <w:bookmarkEnd w:id="83"/>
    </w:p>
    <w:p>
      <w:pPr>
        <w:ind w:firstLine="640"/>
      </w:pPr>
      <w:r>
        <w:rPr>
          <w:rFonts w:hint="eastAsia"/>
        </w:rPr>
        <w:t>本规划符合《郑州市国土空间总体规划（2021-2035年）》，社会公用充电设施应充分结合社会公共停车场、桥下空间、交通枢纽及文体场馆、商业综合体等配建停车场配置。专用充电设施应考虑其服务对象具有定区定线的运行特点，优先在车辆两端停车场建设。单位内部充电站选择政府机构、企事业单位内部停车场配建。示范性集中式充电站是以独立的停车场为充电站建设场地，在建设用地规划审批中，应予以优先支持。</w:t>
      </w:r>
    </w:p>
    <w:p>
      <w:pPr>
        <w:pStyle w:val="4"/>
        <w:ind w:firstLine="640"/>
      </w:pPr>
      <w:bookmarkStart w:id="84" w:name="_Toc7698"/>
      <w:r>
        <w:rPr>
          <w:rFonts w:hint="eastAsia"/>
        </w:rPr>
        <w:t>（二）电网容量分析</w:t>
      </w:r>
      <w:bookmarkEnd w:id="84"/>
    </w:p>
    <w:p>
      <w:pPr>
        <w:ind w:firstLine="640"/>
      </w:pPr>
      <w:r>
        <w:t>根据202</w:t>
      </w:r>
      <w:r>
        <w:rPr>
          <w:rFonts w:hint="eastAsia"/>
        </w:rPr>
        <w:t>3-</w:t>
      </w:r>
      <w:r>
        <w:t>2025年各类充电</w:t>
      </w:r>
      <w:r>
        <w:rPr>
          <w:rFonts w:hint="eastAsia"/>
        </w:rPr>
        <w:t>设施需求</w:t>
      </w:r>
      <w:r>
        <w:t>总量预测数据，按照不同类型充电桩的功率和充电桩同时率进行分析，</w:t>
      </w:r>
      <w:r>
        <w:rPr>
          <w:rFonts w:hint="eastAsia"/>
        </w:rPr>
        <w:t>计算新增</w:t>
      </w:r>
      <w:r>
        <w:t>充电基础设施的用电负荷预测值。</w:t>
      </w:r>
    </w:p>
    <w:p>
      <w:pPr>
        <w:ind w:firstLine="640"/>
      </w:pPr>
      <w:r>
        <w:rPr>
          <w:rFonts w:hint="eastAsia"/>
        </w:rPr>
        <w:t>专用充电站直流充电设施</w:t>
      </w:r>
      <w:r>
        <w:t>按</w:t>
      </w:r>
      <w:r>
        <w:rPr>
          <w:rFonts w:hint="eastAsia"/>
        </w:rPr>
        <w:t>8</w:t>
      </w:r>
      <w:r>
        <w:t>0kW/</w:t>
      </w:r>
      <w:r>
        <w:rPr>
          <w:rFonts w:hint="eastAsia"/>
        </w:rPr>
        <w:t>枪</w:t>
      </w:r>
      <w:r>
        <w:t>，</w:t>
      </w:r>
      <w:r>
        <w:rPr>
          <w:rFonts w:hint="eastAsia"/>
        </w:rPr>
        <w:t>公共充电站直流充电设施</w:t>
      </w:r>
      <w:r>
        <w:t>按</w:t>
      </w:r>
      <w:r>
        <w:rPr>
          <w:rFonts w:hint="eastAsia"/>
        </w:rPr>
        <w:t>8</w:t>
      </w:r>
      <w:r>
        <w:t>0kW/</w:t>
      </w:r>
      <w:r>
        <w:rPr>
          <w:rFonts w:hint="eastAsia"/>
        </w:rPr>
        <w:t>枪</w:t>
      </w:r>
      <w:r>
        <w:t>，</w:t>
      </w:r>
      <w:r>
        <w:rPr>
          <w:rFonts w:hint="eastAsia"/>
        </w:rPr>
        <w:t>统建统营充电站直流充电设施按60</w:t>
      </w:r>
      <w:r>
        <w:t>kW/</w:t>
      </w:r>
      <w:r>
        <w:rPr>
          <w:rFonts w:hint="eastAsia"/>
        </w:rPr>
        <w:t>枪，</w:t>
      </w:r>
      <w:r>
        <w:t>自用交流桩按</w:t>
      </w:r>
      <w:r>
        <w:rPr>
          <w:rFonts w:hint="eastAsia"/>
        </w:rPr>
        <w:t>7</w:t>
      </w:r>
      <w:r>
        <w:t>kW/桩，</w:t>
      </w:r>
      <w:r>
        <w:rPr>
          <w:rFonts w:hint="eastAsia"/>
        </w:rPr>
        <w:t>其他交流桩按</w:t>
      </w:r>
      <w:r>
        <w:t>7kW/桩计算，规划至2025年，</w:t>
      </w:r>
      <w:r>
        <w:rPr>
          <w:rFonts w:hint="eastAsia"/>
        </w:rPr>
        <w:t>郑州市</w:t>
      </w:r>
      <w:r>
        <w:t>充电基础设施总用电需求为</w:t>
      </w:r>
      <w:r>
        <w:rPr>
          <w:rFonts w:hint="eastAsia"/>
        </w:rPr>
        <w:t>118</w:t>
      </w:r>
      <w:r>
        <w:t>万kW。</w:t>
      </w:r>
    </w:p>
    <w:p>
      <w:pPr>
        <w:pStyle w:val="6"/>
        <w:ind w:firstLine="0" w:firstLineChars="0"/>
        <w:jc w:val="center"/>
        <w:rPr>
          <w:rFonts w:eastAsia="仿宋_GB2312"/>
          <w:b/>
          <w:sz w:val="24"/>
        </w:rPr>
      </w:pPr>
      <w:r>
        <w:rPr>
          <w:rFonts w:hint="eastAsia"/>
          <w:b/>
          <w:bCs/>
          <w:sz w:val="24"/>
        </w:rPr>
        <w:t>表3-</w:t>
      </w:r>
      <w:r>
        <w:rPr>
          <w:b/>
          <w:bCs/>
          <w:sz w:val="24"/>
        </w:rPr>
        <w:t>6</w:t>
      </w:r>
      <w:r>
        <w:rPr>
          <w:rFonts w:hint="eastAsia"/>
          <w:b/>
          <w:bCs/>
          <w:sz w:val="24"/>
        </w:rPr>
        <w:t xml:space="preserve"> </w:t>
      </w:r>
      <w:r>
        <w:rPr>
          <w:rFonts w:hint="eastAsia" w:eastAsia="仿宋_GB2312"/>
          <w:b/>
          <w:sz w:val="24"/>
        </w:rPr>
        <w:t>郑州市</w:t>
      </w:r>
      <w:r>
        <w:rPr>
          <w:rFonts w:eastAsia="仿宋_GB2312"/>
          <w:b/>
          <w:sz w:val="24"/>
        </w:rPr>
        <w:t>规划充电设施容量需求表（2025年）</w:t>
      </w:r>
    </w:p>
    <w:tbl>
      <w:tblPr>
        <w:tblStyle w:val="17"/>
        <w:tblW w:w="853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41"/>
        <w:gridCol w:w="1409"/>
        <w:gridCol w:w="1459"/>
        <w:gridCol w:w="1400"/>
        <w:gridCol w:w="1280"/>
        <w:gridCol w:w="15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41"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b/>
                <w:bCs/>
                <w:color w:val="000000"/>
                <w:kern w:val="0"/>
                <w:sz w:val="22"/>
                <w:szCs w:val="22"/>
                <w:lang w:bidi="ar"/>
              </w:rPr>
            </w:pPr>
            <w:r>
              <w:rPr>
                <w:rFonts w:eastAsia="宋体" w:cs="Times New Roman"/>
                <w:b/>
                <w:bCs/>
                <w:color w:val="000000"/>
                <w:kern w:val="0"/>
                <w:sz w:val="22"/>
                <w:szCs w:val="22"/>
                <w:lang w:bidi="ar"/>
              </w:rPr>
              <w:t>类型</w:t>
            </w:r>
          </w:p>
        </w:tc>
        <w:tc>
          <w:tcPr>
            <w:tcW w:w="1409" w:type="dxa"/>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b/>
                <w:bCs/>
                <w:color w:val="000000"/>
                <w:kern w:val="0"/>
                <w:sz w:val="22"/>
                <w:szCs w:val="22"/>
                <w:lang w:bidi="ar"/>
              </w:rPr>
            </w:pPr>
            <w:r>
              <w:rPr>
                <w:rFonts w:eastAsia="宋体" w:cs="Times New Roman"/>
                <w:b/>
                <w:bCs/>
                <w:color w:val="000000"/>
                <w:kern w:val="0"/>
                <w:sz w:val="22"/>
                <w:szCs w:val="22"/>
                <w:lang w:bidi="ar"/>
              </w:rPr>
              <w:t>充电设施规</w:t>
            </w:r>
            <w:r>
              <w:rPr>
                <w:rFonts w:eastAsia="宋体" w:cs="Times New Roman"/>
                <w:b/>
                <w:bCs/>
                <w:color w:val="000000"/>
                <w:kern w:val="0"/>
                <w:sz w:val="22"/>
                <w:szCs w:val="22"/>
                <w:lang w:bidi="ar"/>
              </w:rPr>
              <w:br w:type="textWrapping"/>
            </w:r>
            <w:r>
              <w:rPr>
                <w:rFonts w:eastAsia="宋体" w:cs="Times New Roman"/>
                <w:b/>
                <w:bCs/>
                <w:color w:val="000000"/>
                <w:kern w:val="0"/>
                <w:sz w:val="22"/>
                <w:szCs w:val="22"/>
                <w:lang w:bidi="ar"/>
              </w:rPr>
              <w:t>模(台)</w:t>
            </w:r>
          </w:p>
        </w:tc>
        <w:tc>
          <w:tcPr>
            <w:tcW w:w="1459" w:type="dxa"/>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b/>
                <w:bCs/>
                <w:color w:val="000000"/>
                <w:kern w:val="0"/>
                <w:sz w:val="22"/>
                <w:szCs w:val="22"/>
                <w:lang w:bidi="ar"/>
              </w:rPr>
            </w:pPr>
            <w:r>
              <w:rPr>
                <w:rFonts w:eastAsia="宋体" w:cs="Times New Roman"/>
                <w:b/>
                <w:bCs/>
                <w:color w:val="000000"/>
                <w:kern w:val="0"/>
                <w:sz w:val="22"/>
                <w:szCs w:val="22"/>
                <w:lang w:bidi="ar"/>
              </w:rPr>
              <w:t>充电桩总功</w:t>
            </w:r>
            <w:r>
              <w:rPr>
                <w:rFonts w:eastAsia="宋体" w:cs="Times New Roman"/>
                <w:b/>
                <w:bCs/>
                <w:color w:val="000000"/>
                <w:kern w:val="0"/>
                <w:sz w:val="22"/>
                <w:szCs w:val="22"/>
                <w:lang w:bidi="ar"/>
              </w:rPr>
              <w:br w:type="textWrapping"/>
            </w:r>
            <w:r>
              <w:rPr>
                <w:rFonts w:eastAsia="宋体" w:cs="Times New Roman"/>
                <w:b/>
                <w:bCs/>
                <w:color w:val="000000"/>
                <w:kern w:val="0"/>
                <w:sz w:val="22"/>
                <w:szCs w:val="22"/>
                <w:lang w:bidi="ar"/>
              </w:rPr>
              <w:t>率(</w:t>
            </w:r>
            <w:r>
              <w:rPr>
                <w:rFonts w:hint="eastAsia" w:eastAsia="宋体" w:cs="Times New Roman"/>
                <w:b/>
                <w:bCs/>
                <w:color w:val="000000"/>
                <w:kern w:val="0"/>
                <w:sz w:val="22"/>
                <w:szCs w:val="22"/>
                <w:lang w:bidi="ar"/>
              </w:rPr>
              <w:t>万</w:t>
            </w:r>
            <w:r>
              <w:rPr>
                <w:rFonts w:eastAsia="宋体" w:cs="Times New Roman"/>
                <w:b/>
                <w:bCs/>
                <w:color w:val="000000"/>
                <w:kern w:val="0"/>
                <w:sz w:val="22"/>
                <w:szCs w:val="22"/>
                <w:lang w:bidi="ar"/>
              </w:rPr>
              <w:t>kW)</w:t>
            </w:r>
          </w:p>
        </w:tc>
        <w:tc>
          <w:tcPr>
            <w:tcW w:w="1400" w:type="dxa"/>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b/>
                <w:bCs/>
                <w:color w:val="000000"/>
                <w:kern w:val="0"/>
                <w:sz w:val="22"/>
                <w:szCs w:val="22"/>
                <w:lang w:bidi="ar"/>
              </w:rPr>
            </w:pPr>
            <w:r>
              <w:rPr>
                <w:rFonts w:eastAsia="宋体" w:cs="Times New Roman"/>
                <w:b/>
                <w:bCs/>
                <w:color w:val="000000"/>
                <w:kern w:val="0"/>
                <w:sz w:val="22"/>
                <w:szCs w:val="22"/>
                <w:lang w:bidi="ar"/>
              </w:rPr>
              <w:t xml:space="preserve">平均 </w:t>
            </w:r>
            <w:r>
              <w:rPr>
                <w:rFonts w:eastAsia="宋体" w:cs="Times New Roman"/>
                <w:b/>
                <w:bCs/>
                <w:color w:val="000000"/>
                <w:kern w:val="0"/>
                <w:sz w:val="22"/>
                <w:szCs w:val="22"/>
                <w:lang w:bidi="ar"/>
              </w:rPr>
              <w:br w:type="textWrapping"/>
            </w:r>
            <w:r>
              <w:rPr>
                <w:rFonts w:eastAsia="宋体" w:cs="Times New Roman"/>
                <w:b/>
                <w:bCs/>
                <w:color w:val="000000"/>
                <w:kern w:val="0"/>
                <w:sz w:val="22"/>
                <w:szCs w:val="22"/>
                <w:lang w:bidi="ar"/>
              </w:rPr>
              <w:t>负载率</w:t>
            </w:r>
          </w:p>
        </w:tc>
        <w:tc>
          <w:tcPr>
            <w:tcW w:w="1280" w:type="dxa"/>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b/>
                <w:bCs/>
                <w:color w:val="000000"/>
                <w:kern w:val="0"/>
                <w:sz w:val="22"/>
                <w:szCs w:val="22"/>
                <w:lang w:bidi="ar"/>
              </w:rPr>
            </w:pPr>
            <w:r>
              <w:rPr>
                <w:rFonts w:eastAsia="宋体" w:cs="Times New Roman"/>
                <w:b/>
                <w:bCs/>
                <w:color w:val="000000"/>
                <w:kern w:val="0"/>
                <w:sz w:val="22"/>
                <w:szCs w:val="22"/>
                <w:lang w:bidi="ar"/>
              </w:rPr>
              <w:t xml:space="preserve">需用 </w:t>
            </w:r>
            <w:r>
              <w:rPr>
                <w:rFonts w:eastAsia="宋体" w:cs="Times New Roman"/>
                <w:b/>
                <w:bCs/>
                <w:color w:val="000000"/>
                <w:kern w:val="0"/>
                <w:sz w:val="22"/>
                <w:szCs w:val="22"/>
                <w:lang w:bidi="ar"/>
              </w:rPr>
              <w:br w:type="textWrapping"/>
            </w:r>
            <w:r>
              <w:rPr>
                <w:rFonts w:eastAsia="宋体" w:cs="Times New Roman"/>
                <w:b/>
                <w:bCs/>
                <w:color w:val="000000"/>
                <w:kern w:val="0"/>
                <w:sz w:val="22"/>
                <w:szCs w:val="22"/>
                <w:lang w:bidi="ar"/>
              </w:rPr>
              <w:t>系数</w:t>
            </w:r>
          </w:p>
        </w:tc>
        <w:tc>
          <w:tcPr>
            <w:tcW w:w="1548" w:type="dxa"/>
            <w:tcBorders>
              <w:tl2br w:val="nil"/>
              <w:tr2bl w:val="nil"/>
            </w:tcBorders>
            <w:shd w:val="clear" w:color="auto" w:fill="auto"/>
            <w:vAlign w:val="center"/>
          </w:tcPr>
          <w:p>
            <w:pPr>
              <w:widowControl/>
              <w:spacing w:line="240" w:lineRule="auto"/>
              <w:ind w:firstLine="0" w:firstLineChars="0"/>
              <w:jc w:val="center"/>
              <w:textAlignment w:val="center"/>
              <w:rPr>
                <w:rFonts w:eastAsia="宋体" w:cs="Times New Roman"/>
                <w:b/>
                <w:bCs/>
                <w:color w:val="000000"/>
                <w:kern w:val="0"/>
                <w:sz w:val="22"/>
                <w:szCs w:val="22"/>
                <w:lang w:bidi="ar"/>
              </w:rPr>
            </w:pPr>
            <w:r>
              <w:rPr>
                <w:rFonts w:eastAsia="宋体" w:cs="Times New Roman"/>
                <w:b/>
                <w:bCs/>
                <w:color w:val="000000"/>
                <w:kern w:val="0"/>
                <w:sz w:val="22"/>
                <w:szCs w:val="22"/>
                <w:lang w:bidi="ar"/>
              </w:rPr>
              <w:t xml:space="preserve">总负荷 </w:t>
            </w:r>
            <w:r>
              <w:rPr>
                <w:rFonts w:eastAsia="宋体" w:cs="Times New Roman"/>
                <w:b/>
                <w:bCs/>
                <w:color w:val="000000"/>
                <w:kern w:val="0"/>
                <w:sz w:val="22"/>
                <w:szCs w:val="22"/>
                <w:lang w:bidi="ar"/>
              </w:rPr>
              <w:br w:type="textWrapping"/>
            </w:r>
            <w:r>
              <w:rPr>
                <w:rFonts w:eastAsia="宋体" w:cs="Times New Roman"/>
                <w:b/>
                <w:bCs/>
                <w:color w:val="000000"/>
                <w:kern w:val="0"/>
                <w:sz w:val="22"/>
                <w:szCs w:val="22"/>
                <w:lang w:bidi="ar"/>
              </w:rPr>
              <w:t>(万kW)</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41"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eastAsia="宋体" w:cs="Times New Roman"/>
                <w:color w:val="000000"/>
                <w:kern w:val="0"/>
                <w:sz w:val="22"/>
                <w:szCs w:val="22"/>
                <w:lang w:bidi="ar"/>
              </w:rPr>
              <w:t>公用充电设施</w:t>
            </w:r>
          </w:p>
        </w:tc>
        <w:tc>
          <w:tcPr>
            <w:tcW w:w="1409"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eastAsia="宋体" w:cs="Times New Roman"/>
                <w:color w:val="000000"/>
                <w:kern w:val="0"/>
                <w:sz w:val="22"/>
                <w:szCs w:val="22"/>
                <w:lang w:bidi="ar"/>
              </w:rPr>
              <w:t>1.8</w:t>
            </w:r>
          </w:p>
        </w:tc>
        <w:tc>
          <w:tcPr>
            <w:tcW w:w="1459"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 xml:space="preserve">100 </w:t>
            </w:r>
          </w:p>
        </w:tc>
        <w:tc>
          <w:tcPr>
            <w:tcW w:w="1400"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70%</w:t>
            </w:r>
          </w:p>
        </w:tc>
        <w:tc>
          <w:tcPr>
            <w:tcW w:w="1280"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0.5</w:t>
            </w:r>
          </w:p>
        </w:tc>
        <w:tc>
          <w:tcPr>
            <w:tcW w:w="1548"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 xml:space="preserve">35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41"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eastAsia="宋体" w:cs="Times New Roman"/>
                <w:color w:val="000000"/>
                <w:kern w:val="0"/>
                <w:sz w:val="22"/>
                <w:szCs w:val="22"/>
                <w:lang w:bidi="ar"/>
              </w:rPr>
              <w:t>专用充电设施</w:t>
            </w:r>
          </w:p>
        </w:tc>
        <w:tc>
          <w:tcPr>
            <w:tcW w:w="1409"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eastAsia="宋体" w:cs="Times New Roman"/>
                <w:color w:val="000000"/>
                <w:kern w:val="0"/>
                <w:sz w:val="22"/>
                <w:szCs w:val="22"/>
                <w:lang w:bidi="ar"/>
              </w:rPr>
              <w:t>0.5</w:t>
            </w:r>
          </w:p>
        </w:tc>
        <w:tc>
          <w:tcPr>
            <w:tcW w:w="1459"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40</w:t>
            </w:r>
          </w:p>
        </w:tc>
        <w:tc>
          <w:tcPr>
            <w:tcW w:w="1400"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70%</w:t>
            </w:r>
          </w:p>
        </w:tc>
        <w:tc>
          <w:tcPr>
            <w:tcW w:w="1280"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0.5</w:t>
            </w:r>
          </w:p>
        </w:tc>
        <w:tc>
          <w:tcPr>
            <w:tcW w:w="1548"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 xml:space="preserve">14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41"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eastAsia="宋体" w:cs="Times New Roman"/>
                <w:color w:val="000000"/>
                <w:kern w:val="0"/>
                <w:sz w:val="22"/>
                <w:szCs w:val="22"/>
                <w:lang w:bidi="ar"/>
              </w:rPr>
              <w:t>统建统营设施</w:t>
            </w:r>
          </w:p>
        </w:tc>
        <w:tc>
          <w:tcPr>
            <w:tcW w:w="1409"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eastAsia="宋体" w:cs="Times New Roman"/>
                <w:color w:val="000000"/>
                <w:kern w:val="0"/>
                <w:sz w:val="22"/>
                <w:szCs w:val="22"/>
                <w:lang w:bidi="ar"/>
              </w:rPr>
              <w:t>1.4</w:t>
            </w:r>
          </w:p>
        </w:tc>
        <w:tc>
          <w:tcPr>
            <w:tcW w:w="1459"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 xml:space="preserve">35 </w:t>
            </w:r>
          </w:p>
        </w:tc>
        <w:tc>
          <w:tcPr>
            <w:tcW w:w="1400"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80%</w:t>
            </w:r>
          </w:p>
        </w:tc>
        <w:tc>
          <w:tcPr>
            <w:tcW w:w="1280"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0.5</w:t>
            </w:r>
          </w:p>
        </w:tc>
        <w:tc>
          <w:tcPr>
            <w:tcW w:w="1548"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 xml:space="preserve">14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41"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eastAsia="宋体" w:cs="Times New Roman"/>
                <w:color w:val="000000"/>
                <w:kern w:val="0"/>
                <w:sz w:val="22"/>
                <w:szCs w:val="22"/>
                <w:lang w:bidi="ar"/>
              </w:rPr>
              <w:t>自用充电设施</w:t>
            </w:r>
          </w:p>
        </w:tc>
        <w:tc>
          <w:tcPr>
            <w:tcW w:w="1409"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eastAsia="宋体" w:cs="Times New Roman"/>
                <w:color w:val="000000"/>
                <w:kern w:val="0"/>
                <w:sz w:val="22"/>
                <w:szCs w:val="22"/>
                <w:lang w:bidi="ar"/>
              </w:rPr>
              <w:t>14.6</w:t>
            </w:r>
          </w:p>
        </w:tc>
        <w:tc>
          <w:tcPr>
            <w:tcW w:w="1459"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 xml:space="preserve">102 </w:t>
            </w:r>
          </w:p>
        </w:tc>
        <w:tc>
          <w:tcPr>
            <w:tcW w:w="1400"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90%</w:t>
            </w:r>
          </w:p>
        </w:tc>
        <w:tc>
          <w:tcPr>
            <w:tcW w:w="1280"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0.6</w:t>
            </w:r>
          </w:p>
        </w:tc>
        <w:tc>
          <w:tcPr>
            <w:tcW w:w="1548"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 xml:space="preserve">55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41"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eastAsia="宋体" w:cs="Times New Roman"/>
                <w:color w:val="000000"/>
                <w:kern w:val="0"/>
                <w:sz w:val="22"/>
                <w:szCs w:val="22"/>
                <w:lang w:bidi="ar"/>
              </w:rPr>
              <w:t>合计</w:t>
            </w:r>
          </w:p>
        </w:tc>
        <w:tc>
          <w:tcPr>
            <w:tcW w:w="1409"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eastAsia="宋体" w:cs="Times New Roman"/>
                <w:color w:val="000000"/>
                <w:kern w:val="0"/>
                <w:sz w:val="22"/>
                <w:szCs w:val="22"/>
                <w:lang w:bidi="ar"/>
              </w:rPr>
              <w:t xml:space="preserve">18 </w:t>
            </w:r>
          </w:p>
        </w:tc>
        <w:tc>
          <w:tcPr>
            <w:tcW w:w="1459"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 xml:space="preserve">277 </w:t>
            </w:r>
          </w:p>
        </w:tc>
        <w:tc>
          <w:tcPr>
            <w:tcW w:w="1400"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w:t>
            </w:r>
          </w:p>
        </w:tc>
        <w:tc>
          <w:tcPr>
            <w:tcW w:w="1280"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w:t>
            </w:r>
          </w:p>
        </w:tc>
        <w:tc>
          <w:tcPr>
            <w:tcW w:w="1548" w:type="dxa"/>
            <w:tcBorders>
              <w:tl2br w:val="nil"/>
              <w:tr2bl w:val="nil"/>
            </w:tcBorders>
            <w:shd w:val="clear" w:color="auto" w:fill="auto"/>
            <w:noWrap/>
            <w:vAlign w:val="center"/>
          </w:tcPr>
          <w:p>
            <w:pPr>
              <w:widowControl/>
              <w:spacing w:line="240" w:lineRule="auto"/>
              <w:ind w:firstLine="0" w:firstLineChars="0"/>
              <w:jc w:val="center"/>
              <w:textAlignment w:val="center"/>
              <w:rPr>
                <w:rFonts w:eastAsia="宋体" w:cs="Times New Roman"/>
                <w:color w:val="000000"/>
                <w:kern w:val="0"/>
                <w:sz w:val="22"/>
                <w:szCs w:val="22"/>
                <w:lang w:bidi="ar"/>
              </w:rPr>
            </w:pPr>
            <w:r>
              <w:rPr>
                <w:rFonts w:hint="eastAsia" w:eastAsia="宋体" w:cs="Times New Roman"/>
                <w:color w:val="000000"/>
                <w:kern w:val="0"/>
                <w:sz w:val="22"/>
                <w:szCs w:val="22"/>
                <w:lang w:bidi="ar"/>
              </w:rPr>
              <w:t xml:space="preserve">118 </w:t>
            </w:r>
          </w:p>
        </w:tc>
      </w:tr>
    </w:tbl>
    <w:p>
      <w:pPr>
        <w:pStyle w:val="3"/>
        <w:ind w:firstLine="640"/>
      </w:pPr>
      <w:r>
        <w:rPr>
          <w:rFonts w:hint="eastAsia"/>
        </w:rPr>
        <w:t>五、成效分析</w:t>
      </w:r>
      <w:bookmarkEnd w:id="82"/>
    </w:p>
    <w:p>
      <w:pPr>
        <w:ind w:firstLine="640"/>
        <w:rPr>
          <w:szCs w:val="32"/>
        </w:rPr>
      </w:pPr>
      <w:r>
        <w:rPr>
          <w:rFonts w:hint="eastAsia"/>
          <w:szCs w:val="32"/>
        </w:rPr>
        <w:t>本规划实施后，截至2025年末，全市将新建公用充电设施1.8万个，专用充电设施0.5万个，居民区充电设施16万个，换电站20座，超级充电站300座，乡镇地区充电站458座，形成城市核心区充电服务半径小于1公里的公共充换电网络，全力保障本市67万辆电动汽车安全出行。预计2035年郑州市新能源汽车保有量将达到270万辆，充换电设施规模将达到110万个，形成绿色环保、低碳高效的交通服务体系。</w:t>
      </w:r>
    </w:p>
    <w:p>
      <w:pPr>
        <w:ind w:firstLine="640"/>
        <w:rPr>
          <w:szCs w:val="32"/>
        </w:rPr>
      </w:pPr>
      <w:r>
        <w:rPr>
          <w:rFonts w:hint="eastAsia"/>
          <w:szCs w:val="32"/>
        </w:rPr>
        <w:t>经济效益方面，充电基础设施配建，也将</w:t>
      </w:r>
      <w:r>
        <w:rPr>
          <w:rFonts w:hint="eastAsia" w:cs="Times New Roman"/>
          <w:szCs w:val="32"/>
        </w:rPr>
        <w:t>带动电动汽车全产业链发展，为经济社会发展提供新的增长点。</w:t>
      </w:r>
      <w:r>
        <w:rPr>
          <w:rFonts w:hint="eastAsia"/>
          <w:szCs w:val="32"/>
        </w:rPr>
        <w:t>按照公用和专用直流桩投资6万元/枪、统建统营直流桩投资5万元/枪、交流桩投资5000元/个、换电站投资500万/座，2025年末在公用、专用、统建统营等充换电设施领域本规划将直接拉动投资14亿元以上。按照每辆电动巡游出租车15万元/辆、电动网约出租车15万元/辆、电动物流车25万元/辆、电动环卫车35万元/辆、电动工程车100万元/辆、电动私人及公务车15万元/辆计算，截至2025年末可拉动全市电动汽车消费约680亿元。到2035年，全市充电设施拉动投资130亿元以上，拉动新能源汽车消费约4000亿元。</w:t>
      </w:r>
    </w:p>
    <w:p>
      <w:pPr>
        <w:ind w:firstLine="640"/>
      </w:pPr>
      <w:r>
        <w:rPr>
          <w:rFonts w:hint="eastAsia"/>
        </w:rPr>
        <w:t>社会效益方面，公共充电布局优化改善，乡镇地区、高速服务区、干线公路、景区等场景充电设施全面覆盖，有效缓解充电基础设施紧缺，电动汽车充电难问题，避免充电运营企业间无序竞争，实现社会资源的有效配置；提升郑州市的公共充电服务能力，增强民众对新能源汽车的购买意愿。</w:t>
      </w:r>
    </w:p>
    <w:p>
      <w:pPr>
        <w:ind w:firstLine="640"/>
        <w:rPr>
          <w:szCs w:val="32"/>
        </w:rPr>
      </w:pPr>
      <w:r>
        <w:rPr>
          <w:rFonts w:hint="eastAsia"/>
          <w:szCs w:val="32"/>
        </w:rPr>
        <w:t>环境效益方面，根据新能源汽车国家大数据联盟公布数据，2023年1月累计接入新能源汽车1250.8万辆，行驶里程171.17亿公里，平均每辆车单月行驶里程约1368公里。按照百公里油耗7.5L，节约1升汽油=减排0.627千克碳的碳减排系数计算，截至2025年末，郑州市新能源汽车每年碳减排量将达到50万吨，预期到2035年，每年碳减排量将超过200万吨，助力郑州加速实现双碳目标。</w:t>
      </w:r>
    </w:p>
    <w:p>
      <w:pPr>
        <w:pStyle w:val="2"/>
        <w:spacing w:after="0" w:afterLines="0"/>
      </w:pPr>
      <w:bookmarkStart w:id="85" w:name="_Toc11451"/>
      <w:r>
        <w:rPr>
          <w:rFonts w:hint="eastAsia"/>
        </w:rPr>
        <w:t>第四章 总体要求</w:t>
      </w:r>
      <w:bookmarkEnd w:id="85"/>
    </w:p>
    <w:p>
      <w:pPr>
        <w:pStyle w:val="3"/>
        <w:ind w:firstLine="640"/>
      </w:pPr>
      <w:bookmarkStart w:id="86" w:name="_Toc12104"/>
      <w:r>
        <w:rPr>
          <w:rFonts w:hint="eastAsia"/>
        </w:rPr>
        <w:t>一、指导思想</w:t>
      </w:r>
      <w:bookmarkEnd w:id="86"/>
    </w:p>
    <w:p>
      <w:pPr>
        <w:ind w:firstLine="640"/>
      </w:pPr>
      <w:r>
        <w:rPr>
          <w:rFonts w:hint="eastAsia"/>
        </w:rPr>
        <w:t>以习近平新时代中国特色社会主义思想为指导，全面贯彻落实党的二十大精神，坚持“四个革命、一个合作”能源安全新战略，贯彻落实国家加快新能源汽车推广应用和充换电设施发展建设要求，充分发挥郑州在中原地区的示范引领作用，树立创新、协调、绿色、开放、共享的发展理念，统筹本市新能源汽车推广应用和综合交通管理政策，坚持政府引导、市场主导，将充电设施建设作为城市配套基础设施，碳达峰、碳中和目标实现的重要载体来推进发展。加强统筹谋划，落实主体责任，持续完善网络，提高设施能力，提升服务水平，进一步构建高质量充电基础设施体系，更好满足人民群众购置和使用新能源汽车需要，助力推进交通运输绿色低碳转型与现代化基础设施体系建设。</w:t>
      </w:r>
    </w:p>
    <w:p>
      <w:pPr>
        <w:pStyle w:val="3"/>
        <w:ind w:firstLine="640"/>
      </w:pPr>
      <w:bookmarkStart w:id="87" w:name="_Toc19282"/>
      <w:r>
        <w:rPr>
          <w:rFonts w:hint="eastAsia"/>
        </w:rPr>
        <w:t>二、规划原则</w:t>
      </w:r>
      <w:bookmarkEnd w:id="87"/>
    </w:p>
    <w:p>
      <w:pPr>
        <w:ind w:firstLine="640"/>
      </w:pPr>
      <w:r>
        <w:rPr>
          <w:rFonts w:hint="eastAsia" w:ascii="楷体_GB2312" w:hAnsi="楷体_GB2312" w:eastAsia="楷体_GB2312" w:cs="楷体_GB2312"/>
        </w:rPr>
        <w:t>科学布局，统筹规划。</w:t>
      </w:r>
      <w:r>
        <w:rPr>
          <w:rFonts w:hint="eastAsia"/>
        </w:rPr>
        <w:t>加强充换电基础设施发展顶层设计，坚持应建尽建、因地制宜、均衡合理，科学规划建设规模、网络结构、布局功能和发展模式。依据国土空间规划，推动充换电基础设施规划与电力、交通等规划一体衔接。</w:t>
      </w:r>
    </w:p>
    <w:p>
      <w:pPr>
        <w:ind w:firstLine="640"/>
      </w:pPr>
      <w:r>
        <w:rPr>
          <w:rFonts w:hint="eastAsia" w:ascii="楷体_GB2312" w:hAnsi="楷体_GB2312" w:eastAsia="楷体_GB2312" w:cs="楷体_GB2312"/>
        </w:rPr>
        <w:t>适度超前，协同推进。</w:t>
      </w:r>
      <w:r>
        <w:rPr>
          <w:rFonts w:hint="eastAsia"/>
        </w:rPr>
        <w:t>结合电动汽车发展趋势，适度超前安排充换电基础设施建设，在总量规模、结构功能、建设空间等方面留有裕度，更好满足不同领域、不同场景充电需求。持续完善充电基础设施标准体系，不断提升充换电设施的服务能力。</w:t>
      </w:r>
    </w:p>
    <w:p>
      <w:pPr>
        <w:ind w:firstLine="640"/>
      </w:pPr>
      <w:r>
        <w:rPr>
          <w:rFonts w:hint="eastAsia" w:ascii="楷体_GB2312" w:hAnsi="楷体_GB2312" w:eastAsia="楷体_GB2312" w:cs="楷体_GB2312"/>
        </w:rPr>
        <w:t>创新融合，示范引领。</w:t>
      </w:r>
      <w:r>
        <w:rPr>
          <w:rFonts w:hint="eastAsia"/>
        </w:rPr>
        <w:t>充分发挥创新第一动力作用，提升充电基础设施数字化、智能化、融合化发展水平，鼓励发展新技术、新业态、新模式，推动电动汽车与充换电基础设施网、电信网、交通网、电力网等能量互通、信息互联。</w:t>
      </w:r>
    </w:p>
    <w:p>
      <w:pPr>
        <w:ind w:firstLine="640"/>
      </w:pPr>
      <w:r>
        <w:rPr>
          <w:rFonts w:hint="eastAsia" w:ascii="楷体_GB2312" w:hAnsi="楷体_GB2312" w:eastAsia="楷体_GB2312" w:cs="楷体_GB2312"/>
        </w:rPr>
        <w:t>安全便捷，健康发展。</w:t>
      </w:r>
      <w:r>
        <w:rPr>
          <w:rFonts w:hint="eastAsia"/>
        </w:rPr>
        <w:t>坚持安全第一，加强充换电基础设施全生命周期安全管理，强化质量安全、运行安全和信息安全，着力提高可靠性和风险防范水平。不断提高充换电服务经济性和便捷性，扩大多样化有效供给，全面提升服务质量效率。</w:t>
      </w:r>
    </w:p>
    <w:p>
      <w:pPr>
        <w:pStyle w:val="3"/>
        <w:ind w:firstLine="640"/>
      </w:pPr>
      <w:bookmarkStart w:id="88" w:name="_Toc19477"/>
      <w:r>
        <w:rPr>
          <w:rFonts w:hint="eastAsia"/>
        </w:rPr>
        <w:t>三、规划目标</w:t>
      </w:r>
      <w:bookmarkEnd w:id="88"/>
    </w:p>
    <w:p>
      <w:pPr>
        <w:pStyle w:val="4"/>
        <w:ind w:firstLine="640"/>
      </w:pPr>
      <w:bookmarkStart w:id="89" w:name="_Toc19285"/>
      <w:bookmarkStart w:id="90" w:name="_Toc30151"/>
      <w:bookmarkStart w:id="91" w:name="_Toc17258"/>
      <w:bookmarkStart w:id="92" w:name="_Toc9299"/>
      <w:r>
        <w:rPr>
          <w:rFonts w:hint="eastAsia"/>
        </w:rPr>
        <w:t>（一）远景目标</w:t>
      </w:r>
      <w:bookmarkEnd w:id="89"/>
      <w:bookmarkEnd w:id="90"/>
      <w:bookmarkEnd w:id="91"/>
      <w:bookmarkEnd w:id="92"/>
    </w:p>
    <w:p>
      <w:pPr>
        <w:ind w:firstLine="640"/>
      </w:pPr>
      <w:r>
        <w:rPr>
          <w:rFonts w:hint="eastAsia"/>
        </w:rPr>
        <w:t>2035年郑州市新能源汽车保有量将达到270万辆，郑州市充电设施规模预计达到110万个。其中，私人充电桩90万个，公专用充电设施20万个。换电站加速发展，形成与换电型新能源汽车规模相匹配的城市换电设施体系。</w:t>
      </w:r>
    </w:p>
    <w:p>
      <w:pPr>
        <w:pStyle w:val="4"/>
        <w:ind w:firstLine="640"/>
      </w:pPr>
      <w:bookmarkStart w:id="93" w:name="_Toc17435"/>
      <w:bookmarkStart w:id="94" w:name="_Toc2155"/>
      <w:bookmarkStart w:id="95" w:name="_Toc6904"/>
      <w:bookmarkStart w:id="96" w:name="_Toc17278"/>
      <w:r>
        <w:rPr>
          <w:rFonts w:hint="eastAsia"/>
        </w:rPr>
        <w:t>（二）近期目标</w:t>
      </w:r>
      <w:bookmarkEnd w:id="93"/>
      <w:bookmarkEnd w:id="94"/>
      <w:bookmarkEnd w:id="95"/>
      <w:bookmarkEnd w:id="96"/>
    </w:p>
    <w:p>
      <w:pPr>
        <w:ind w:firstLine="640"/>
      </w:pPr>
      <w:r>
        <w:rPr>
          <w:rFonts w:hint="eastAsia"/>
        </w:rPr>
        <w:t>到2025年基本建成适度超前、布局均衡、智能高效的充换电基础设施体系，服务保障能力显著提升，具体体现如下。</w:t>
      </w:r>
    </w:p>
    <w:p>
      <w:pPr>
        <w:ind w:firstLine="640"/>
      </w:pPr>
      <w:r>
        <w:rPr>
          <w:rFonts w:hint="eastAsia"/>
        </w:rPr>
        <w:t>1.完善全市充电网络，支撑67万辆新能源车充电需求。</w:t>
      </w:r>
    </w:p>
    <w:p>
      <w:pPr>
        <w:ind w:firstLine="640"/>
      </w:pPr>
      <w:r>
        <w:rPr>
          <w:rFonts w:hint="eastAsia"/>
        </w:rPr>
        <w:t>总体规模方面，全市新建公用充电设施1.8万个，专用充电设施0.5万个，居民区自用充电设施14.6万个、统建统营充电设施1.4万个，换电站20座。2025年末，全市充电设施规模力争达到22.7万个，车桩比小于3:1，达到全国先进水平。其中，公用充电设施3.5万个，专用充电设施1.3万个，居民区充电设施17.9万个；换电站规模达到46座。</w:t>
      </w:r>
    </w:p>
    <w:p>
      <w:pPr>
        <w:ind w:firstLine="640"/>
      </w:pPr>
      <w:r>
        <w:rPr>
          <w:rFonts w:hint="eastAsia"/>
        </w:rPr>
        <w:t>服务半径方面，全市城市核心区充电服务半径应小于1公里。</w:t>
      </w:r>
    </w:p>
    <w:p>
      <w:pPr>
        <w:ind w:firstLine="640"/>
      </w:pPr>
      <w:r>
        <w:rPr>
          <w:rFonts w:hint="eastAsia"/>
        </w:rPr>
        <w:t>重点领域推广方面，推进超级充电站和示范性集中式公用充电站建设，到2025年，全市建成超级充电站300座、充电设施3600个，乡镇地区建成充电站458座、充电设施4580个，各县（市、区）至少建成1座示范性集中式公用充电站。</w:t>
      </w:r>
    </w:p>
    <w:p>
      <w:pPr>
        <w:ind w:firstLine="640"/>
      </w:pPr>
      <w:r>
        <w:rPr>
          <w:rFonts w:hint="eastAsia"/>
        </w:rPr>
        <w:t>2.构建全面的充换电服务体系，提升各领域充电服务能力。</w:t>
      </w:r>
    </w:p>
    <w:p>
      <w:pPr>
        <w:ind w:firstLine="640"/>
      </w:pPr>
      <w:r>
        <w:t>构建布局合理、</w:t>
      </w:r>
      <w:r>
        <w:rPr>
          <w:rFonts w:hint="eastAsia"/>
        </w:rPr>
        <w:t>协调互济</w:t>
      </w:r>
      <w:r>
        <w:t>的充</w:t>
      </w:r>
      <w:r>
        <w:rPr>
          <w:rFonts w:hint="eastAsia"/>
        </w:rPr>
        <w:t>换</w:t>
      </w:r>
      <w:r>
        <w:t>电网络。重点推进居民区自用充电桩及公共机构、企业、产业园区、景区停车位（场）</w:t>
      </w:r>
      <w:r>
        <w:rPr>
          <w:rFonts w:hint="eastAsia"/>
        </w:rPr>
        <w:t>公用</w:t>
      </w:r>
      <w:r>
        <w:t>充电</w:t>
      </w:r>
      <w:r>
        <w:rPr>
          <w:rFonts w:hint="eastAsia"/>
        </w:rPr>
        <w:t>设施</w:t>
      </w:r>
      <w:r>
        <w:t>建设，加快干线公路沿线服务区快速充电设施布局，积极推动公共服务领域停车场集中式充</w:t>
      </w:r>
      <w:r>
        <w:rPr>
          <w:rFonts w:hint="eastAsia"/>
        </w:rPr>
        <w:t>换</w:t>
      </w:r>
      <w:r>
        <w:t>电设施建设，努力满足全</w:t>
      </w:r>
      <w:r>
        <w:rPr>
          <w:rFonts w:hint="eastAsia"/>
        </w:rPr>
        <w:t>市新能源</w:t>
      </w:r>
      <w:r>
        <w:t>汽车城际出行和省外过境电动汽车充电需求。通过"私人充电桩+</w:t>
      </w:r>
      <w:r>
        <w:rPr>
          <w:rFonts w:hint="eastAsia"/>
        </w:rPr>
        <w:t>统建统营、社区自治</w:t>
      </w:r>
      <w:r>
        <w:t>+</w:t>
      </w:r>
      <w:r>
        <w:rPr>
          <w:rFonts w:hint="eastAsia"/>
        </w:rPr>
        <w:t>有序充电技术</w:t>
      </w:r>
      <w:r>
        <w:t>应用"组合方式，切实解决居住区充电设施建设</w:t>
      </w:r>
      <w:r>
        <w:rPr>
          <w:rFonts w:hint="eastAsia"/>
        </w:rPr>
        <w:t>管理</w:t>
      </w:r>
      <w:r>
        <w:t>难题，提升充电保障能力</w:t>
      </w:r>
      <w:r>
        <w:rPr>
          <w:rFonts w:hint="eastAsia"/>
        </w:rPr>
        <w:t>。加快推进单位内部停车场充电设施建设，鼓励有条件的单位内部充电设施和居民区充电设施开放共享，提升充电服务能力。鼓励换电站推广应用，满足出租车、网约车和私家车换电需求。</w:t>
      </w:r>
    </w:p>
    <w:p>
      <w:pPr>
        <w:pStyle w:val="4"/>
        <w:ind w:firstLine="640"/>
      </w:pPr>
      <w:bookmarkStart w:id="97" w:name="_Toc2843"/>
      <w:bookmarkStart w:id="98" w:name="_Toc22358"/>
      <w:bookmarkStart w:id="99" w:name="_Toc15247"/>
      <w:bookmarkStart w:id="100" w:name="_Toc8794"/>
      <w:r>
        <w:rPr>
          <w:rFonts w:hint="eastAsia"/>
        </w:rPr>
        <w:t>（三）分区目标</w:t>
      </w:r>
      <w:bookmarkEnd w:id="97"/>
      <w:bookmarkEnd w:id="98"/>
      <w:bookmarkEnd w:id="99"/>
      <w:bookmarkEnd w:id="100"/>
    </w:p>
    <w:p>
      <w:pPr>
        <w:ind w:firstLine="640"/>
      </w:pPr>
      <w:r>
        <w:rPr>
          <w:rFonts w:hint="eastAsia"/>
        </w:rPr>
        <w:t>充电设施配建目标需要充分考虑本区域汽车增长量和本区域公用、专用充电设施配建的成熟度。目前，郑州市69%公用充电设施分布在主城区，中心城区公用充电设施建设密度已达25个/ km²。周边区县（市）的充电设施主要集中在城内建成区域，从充电站服务半径考虑，仍有较大的补充空间。根据表4-1新能源汽车预测量与充电设施配建度比值，主城区的充电设施建设速度快于新能源汽车增速。因此，预测2025年各区县（市）新建充电设施数量采用2025年新能源车保有量比例进行计算更加合理。</w:t>
      </w:r>
    </w:p>
    <w:p>
      <w:pPr>
        <w:ind w:firstLine="0" w:firstLineChars="0"/>
        <w:jc w:val="center"/>
        <w:rPr>
          <w:b/>
          <w:bCs/>
          <w:sz w:val="24"/>
        </w:rPr>
      </w:pPr>
      <w:r>
        <w:rPr>
          <w:rFonts w:hint="eastAsia"/>
          <w:b/>
          <w:bCs/>
          <w:sz w:val="24"/>
        </w:rPr>
        <w:t>表4-1 新能源汽车预测量与充电设施配建度</w:t>
      </w:r>
    </w:p>
    <w:tbl>
      <w:tblPr>
        <w:tblStyle w:val="17"/>
        <w:tblW w:w="8778" w:type="dxa"/>
        <w:jc w:val="center"/>
        <w:tblLayout w:type="fixed"/>
        <w:tblCellMar>
          <w:top w:w="0" w:type="dxa"/>
          <w:left w:w="0" w:type="dxa"/>
          <w:bottom w:w="0" w:type="dxa"/>
          <w:right w:w="0" w:type="dxa"/>
        </w:tblCellMar>
      </w:tblPr>
      <w:tblGrid>
        <w:gridCol w:w="1884"/>
        <w:gridCol w:w="1723"/>
        <w:gridCol w:w="1723"/>
        <w:gridCol w:w="1723"/>
        <w:gridCol w:w="1725"/>
      </w:tblGrid>
      <w:tr>
        <w:tblPrEx>
          <w:tblCellMar>
            <w:top w:w="0" w:type="dxa"/>
            <w:left w:w="0" w:type="dxa"/>
            <w:bottom w:w="0" w:type="dxa"/>
            <w:right w:w="0" w:type="dxa"/>
          </w:tblCellMar>
        </w:tblPrEx>
        <w:trPr>
          <w:trHeight w:val="340" w:hRule="atLeast"/>
          <w:jc w:val="center"/>
        </w:trPr>
        <w:tc>
          <w:tcPr>
            <w:tcW w:w="1884"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vAlign w:val="center"/>
          </w:tcPr>
          <w:p>
            <w:pPr>
              <w:spacing w:line="240" w:lineRule="auto"/>
              <w:ind w:firstLine="0" w:firstLineChars="0"/>
              <w:jc w:val="center"/>
              <w:rPr>
                <w:rFonts w:eastAsia="宋体" w:cs="Times New Roman"/>
                <w:sz w:val="22"/>
                <w:szCs w:val="22"/>
              </w:rPr>
            </w:pPr>
            <w:r>
              <w:rPr>
                <w:rFonts w:eastAsia="宋体" w:cs="Times New Roman"/>
                <w:sz w:val="22"/>
                <w:szCs w:val="22"/>
              </w:rPr>
              <w:t>主城区</w:t>
            </w:r>
          </w:p>
        </w:tc>
        <w:tc>
          <w:tcPr>
            <w:tcW w:w="1723"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vAlign w:val="center"/>
          </w:tcPr>
          <w:p>
            <w:pPr>
              <w:spacing w:line="240" w:lineRule="auto"/>
              <w:ind w:firstLine="0" w:firstLineChars="0"/>
              <w:jc w:val="center"/>
              <w:rPr>
                <w:rFonts w:eastAsia="宋体" w:cs="Times New Roman"/>
                <w:sz w:val="22"/>
                <w:szCs w:val="22"/>
              </w:rPr>
            </w:pPr>
            <w:r>
              <w:rPr>
                <w:rFonts w:eastAsia="宋体" w:cs="Times New Roman"/>
                <w:sz w:val="22"/>
                <w:szCs w:val="22"/>
              </w:rPr>
              <w:t>2025年底保有量</w:t>
            </w:r>
            <w:r>
              <w:rPr>
                <w:rFonts w:hint="eastAsia" w:eastAsia="宋体" w:cs="Times New Roman"/>
                <w:sz w:val="22"/>
                <w:szCs w:val="22"/>
              </w:rPr>
              <w:t>预测</w:t>
            </w:r>
            <w:r>
              <w:rPr>
                <w:rFonts w:eastAsia="宋体" w:cs="Times New Roman"/>
                <w:sz w:val="22"/>
                <w:szCs w:val="22"/>
              </w:rPr>
              <w:t>（万辆）</w:t>
            </w:r>
          </w:p>
        </w:tc>
        <w:tc>
          <w:tcPr>
            <w:tcW w:w="1723"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vAlign w:val="center"/>
          </w:tcPr>
          <w:p>
            <w:pPr>
              <w:spacing w:line="240" w:lineRule="auto"/>
              <w:ind w:firstLine="0" w:firstLineChars="0"/>
              <w:jc w:val="center"/>
              <w:rPr>
                <w:rFonts w:eastAsia="宋体" w:cs="Times New Roman"/>
                <w:sz w:val="22"/>
                <w:szCs w:val="22"/>
              </w:rPr>
            </w:pPr>
            <w:r>
              <w:rPr>
                <w:rFonts w:eastAsia="宋体" w:cs="Times New Roman"/>
                <w:sz w:val="22"/>
                <w:szCs w:val="22"/>
              </w:rPr>
              <w:t>2025年新能源车保有量占比</w:t>
            </w:r>
          </w:p>
        </w:tc>
        <w:tc>
          <w:tcPr>
            <w:tcW w:w="1723"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vAlign w:val="center"/>
          </w:tcPr>
          <w:p>
            <w:pPr>
              <w:spacing w:line="240" w:lineRule="auto"/>
              <w:ind w:firstLine="0" w:firstLineChars="0"/>
              <w:jc w:val="center"/>
              <w:rPr>
                <w:rFonts w:eastAsia="宋体" w:cs="Times New Roman"/>
                <w:sz w:val="22"/>
                <w:szCs w:val="22"/>
              </w:rPr>
            </w:pPr>
            <w:r>
              <w:rPr>
                <w:rFonts w:eastAsia="宋体" w:cs="Times New Roman"/>
                <w:sz w:val="22"/>
                <w:szCs w:val="22"/>
              </w:rPr>
              <w:t>2022年充电设施占比</w:t>
            </w:r>
          </w:p>
        </w:tc>
        <w:tc>
          <w:tcPr>
            <w:tcW w:w="1725"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vAlign w:val="center"/>
          </w:tcPr>
          <w:p>
            <w:pPr>
              <w:spacing w:line="240" w:lineRule="auto"/>
              <w:ind w:firstLine="0" w:firstLineChars="0"/>
              <w:jc w:val="center"/>
              <w:rPr>
                <w:rFonts w:eastAsia="宋体" w:cs="Times New Roman"/>
                <w:sz w:val="22"/>
                <w:szCs w:val="22"/>
              </w:rPr>
            </w:pPr>
            <w:r>
              <w:rPr>
                <w:rFonts w:eastAsia="宋体" w:cs="Times New Roman"/>
                <w:sz w:val="22"/>
                <w:szCs w:val="22"/>
              </w:rPr>
              <w:t>新能源</w:t>
            </w:r>
            <w:r>
              <w:rPr>
                <w:rFonts w:hint="eastAsia" w:eastAsia="宋体" w:cs="Times New Roman"/>
                <w:sz w:val="22"/>
                <w:szCs w:val="22"/>
              </w:rPr>
              <w:t>车</w:t>
            </w:r>
            <w:r>
              <w:rPr>
                <w:rFonts w:eastAsia="宋体" w:cs="Times New Roman"/>
                <w:sz w:val="22"/>
                <w:szCs w:val="22"/>
              </w:rPr>
              <w:t>增速与充电桩配建度比值</w:t>
            </w:r>
          </w:p>
        </w:tc>
      </w:tr>
      <w:tr>
        <w:tblPrEx>
          <w:tblCellMar>
            <w:top w:w="0" w:type="dxa"/>
            <w:left w:w="0" w:type="dxa"/>
            <w:bottom w:w="0" w:type="dxa"/>
            <w:right w:w="0" w:type="dxa"/>
          </w:tblCellMar>
        </w:tblPrEx>
        <w:trPr>
          <w:trHeight w:val="340" w:hRule="atLeast"/>
          <w:jc w:val="center"/>
        </w:trPr>
        <w:tc>
          <w:tcPr>
            <w:tcW w:w="188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中原区</w:t>
            </w:r>
          </w:p>
        </w:tc>
        <w:tc>
          <w:tcPr>
            <w:tcW w:w="172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4.7 </w:t>
            </w:r>
          </w:p>
        </w:tc>
        <w:tc>
          <w:tcPr>
            <w:tcW w:w="172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7%</w:t>
            </w:r>
          </w:p>
        </w:tc>
        <w:tc>
          <w:tcPr>
            <w:tcW w:w="17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10%</w:t>
            </w:r>
          </w:p>
        </w:tc>
        <w:tc>
          <w:tcPr>
            <w:tcW w:w="17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0.7 </w:t>
            </w:r>
          </w:p>
        </w:tc>
      </w:tr>
      <w:tr>
        <w:tblPrEx>
          <w:tblCellMar>
            <w:top w:w="0" w:type="dxa"/>
            <w:left w:w="0" w:type="dxa"/>
            <w:bottom w:w="0" w:type="dxa"/>
            <w:right w:w="0" w:type="dxa"/>
          </w:tblCellMar>
        </w:tblPrEx>
        <w:trPr>
          <w:trHeight w:val="340" w:hRule="atLeast"/>
          <w:jc w:val="center"/>
        </w:trPr>
        <w:tc>
          <w:tcPr>
            <w:tcW w:w="188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二七区</w:t>
            </w:r>
          </w:p>
        </w:tc>
        <w:tc>
          <w:tcPr>
            <w:tcW w:w="172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4.9 </w:t>
            </w:r>
          </w:p>
        </w:tc>
        <w:tc>
          <w:tcPr>
            <w:tcW w:w="172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7%</w:t>
            </w:r>
          </w:p>
        </w:tc>
        <w:tc>
          <w:tcPr>
            <w:tcW w:w="17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10%</w:t>
            </w:r>
          </w:p>
        </w:tc>
        <w:tc>
          <w:tcPr>
            <w:tcW w:w="17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0.8 </w:t>
            </w:r>
          </w:p>
        </w:tc>
      </w:tr>
      <w:tr>
        <w:tblPrEx>
          <w:tblCellMar>
            <w:top w:w="0" w:type="dxa"/>
            <w:left w:w="0" w:type="dxa"/>
            <w:bottom w:w="0" w:type="dxa"/>
            <w:right w:w="0" w:type="dxa"/>
          </w:tblCellMar>
        </w:tblPrEx>
        <w:trPr>
          <w:trHeight w:val="340" w:hRule="atLeast"/>
          <w:jc w:val="center"/>
        </w:trPr>
        <w:tc>
          <w:tcPr>
            <w:tcW w:w="188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管城回族区</w:t>
            </w:r>
          </w:p>
        </w:tc>
        <w:tc>
          <w:tcPr>
            <w:tcW w:w="172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4.3 </w:t>
            </w:r>
          </w:p>
        </w:tc>
        <w:tc>
          <w:tcPr>
            <w:tcW w:w="172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6%</w:t>
            </w:r>
          </w:p>
        </w:tc>
        <w:tc>
          <w:tcPr>
            <w:tcW w:w="17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8%</w:t>
            </w:r>
          </w:p>
        </w:tc>
        <w:tc>
          <w:tcPr>
            <w:tcW w:w="17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0.8 </w:t>
            </w:r>
          </w:p>
        </w:tc>
      </w:tr>
      <w:tr>
        <w:tblPrEx>
          <w:tblCellMar>
            <w:top w:w="0" w:type="dxa"/>
            <w:left w:w="0" w:type="dxa"/>
            <w:bottom w:w="0" w:type="dxa"/>
            <w:right w:w="0" w:type="dxa"/>
          </w:tblCellMar>
        </w:tblPrEx>
        <w:trPr>
          <w:trHeight w:val="340" w:hRule="atLeast"/>
          <w:jc w:val="center"/>
        </w:trPr>
        <w:tc>
          <w:tcPr>
            <w:tcW w:w="188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金水区</w:t>
            </w:r>
          </w:p>
        </w:tc>
        <w:tc>
          <w:tcPr>
            <w:tcW w:w="172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7.0 </w:t>
            </w:r>
          </w:p>
        </w:tc>
        <w:tc>
          <w:tcPr>
            <w:tcW w:w="172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10%</w:t>
            </w:r>
          </w:p>
        </w:tc>
        <w:tc>
          <w:tcPr>
            <w:tcW w:w="17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8%</w:t>
            </w:r>
          </w:p>
        </w:tc>
        <w:tc>
          <w:tcPr>
            <w:tcW w:w="17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1.3 </w:t>
            </w:r>
          </w:p>
        </w:tc>
      </w:tr>
      <w:tr>
        <w:tblPrEx>
          <w:tblCellMar>
            <w:top w:w="0" w:type="dxa"/>
            <w:left w:w="0" w:type="dxa"/>
            <w:bottom w:w="0" w:type="dxa"/>
            <w:right w:w="0" w:type="dxa"/>
          </w:tblCellMar>
        </w:tblPrEx>
        <w:trPr>
          <w:trHeight w:val="340" w:hRule="atLeast"/>
          <w:jc w:val="center"/>
        </w:trPr>
        <w:tc>
          <w:tcPr>
            <w:tcW w:w="188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惠济区</w:t>
            </w:r>
          </w:p>
        </w:tc>
        <w:tc>
          <w:tcPr>
            <w:tcW w:w="172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2.9 </w:t>
            </w:r>
          </w:p>
        </w:tc>
        <w:tc>
          <w:tcPr>
            <w:tcW w:w="172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4%</w:t>
            </w:r>
          </w:p>
        </w:tc>
        <w:tc>
          <w:tcPr>
            <w:tcW w:w="17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5%</w:t>
            </w:r>
          </w:p>
        </w:tc>
        <w:tc>
          <w:tcPr>
            <w:tcW w:w="17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0.9 </w:t>
            </w:r>
          </w:p>
        </w:tc>
      </w:tr>
      <w:tr>
        <w:tblPrEx>
          <w:tblCellMar>
            <w:top w:w="0" w:type="dxa"/>
            <w:left w:w="0" w:type="dxa"/>
            <w:bottom w:w="0" w:type="dxa"/>
            <w:right w:w="0" w:type="dxa"/>
          </w:tblCellMar>
        </w:tblPrEx>
        <w:trPr>
          <w:trHeight w:val="340" w:hRule="atLeast"/>
          <w:jc w:val="center"/>
        </w:trPr>
        <w:tc>
          <w:tcPr>
            <w:tcW w:w="188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经开区</w:t>
            </w:r>
          </w:p>
        </w:tc>
        <w:tc>
          <w:tcPr>
            <w:tcW w:w="172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4.7 </w:t>
            </w:r>
          </w:p>
        </w:tc>
        <w:tc>
          <w:tcPr>
            <w:tcW w:w="172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7%</w:t>
            </w:r>
          </w:p>
        </w:tc>
        <w:tc>
          <w:tcPr>
            <w:tcW w:w="17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9%</w:t>
            </w:r>
          </w:p>
        </w:tc>
        <w:tc>
          <w:tcPr>
            <w:tcW w:w="17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0.8 </w:t>
            </w:r>
          </w:p>
        </w:tc>
      </w:tr>
      <w:tr>
        <w:tblPrEx>
          <w:tblCellMar>
            <w:top w:w="0" w:type="dxa"/>
            <w:left w:w="0" w:type="dxa"/>
            <w:bottom w:w="0" w:type="dxa"/>
            <w:right w:w="0" w:type="dxa"/>
          </w:tblCellMar>
        </w:tblPrEx>
        <w:trPr>
          <w:trHeight w:val="340" w:hRule="atLeast"/>
          <w:jc w:val="center"/>
        </w:trPr>
        <w:tc>
          <w:tcPr>
            <w:tcW w:w="188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高新区</w:t>
            </w:r>
          </w:p>
        </w:tc>
        <w:tc>
          <w:tcPr>
            <w:tcW w:w="172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2.9 </w:t>
            </w:r>
          </w:p>
        </w:tc>
        <w:tc>
          <w:tcPr>
            <w:tcW w:w="172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4%</w:t>
            </w:r>
          </w:p>
        </w:tc>
        <w:tc>
          <w:tcPr>
            <w:tcW w:w="17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4%</w:t>
            </w:r>
          </w:p>
        </w:tc>
        <w:tc>
          <w:tcPr>
            <w:tcW w:w="17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1.1 </w:t>
            </w:r>
          </w:p>
        </w:tc>
      </w:tr>
      <w:tr>
        <w:tblPrEx>
          <w:tblCellMar>
            <w:top w:w="0" w:type="dxa"/>
            <w:left w:w="0" w:type="dxa"/>
            <w:bottom w:w="0" w:type="dxa"/>
            <w:right w:w="0" w:type="dxa"/>
          </w:tblCellMar>
        </w:tblPrEx>
        <w:trPr>
          <w:trHeight w:val="340" w:hRule="atLeast"/>
          <w:jc w:val="center"/>
        </w:trPr>
        <w:tc>
          <w:tcPr>
            <w:tcW w:w="188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郑东新区</w:t>
            </w:r>
          </w:p>
        </w:tc>
        <w:tc>
          <w:tcPr>
            <w:tcW w:w="172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7.1 </w:t>
            </w:r>
          </w:p>
        </w:tc>
        <w:tc>
          <w:tcPr>
            <w:tcW w:w="172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11%</w:t>
            </w:r>
          </w:p>
        </w:tc>
        <w:tc>
          <w:tcPr>
            <w:tcW w:w="17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16%</w:t>
            </w:r>
          </w:p>
        </w:tc>
        <w:tc>
          <w:tcPr>
            <w:tcW w:w="17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0.7 </w:t>
            </w:r>
          </w:p>
        </w:tc>
      </w:tr>
      <w:tr>
        <w:tblPrEx>
          <w:tblCellMar>
            <w:top w:w="0" w:type="dxa"/>
            <w:left w:w="0" w:type="dxa"/>
            <w:bottom w:w="0" w:type="dxa"/>
            <w:right w:w="0" w:type="dxa"/>
          </w:tblCellMar>
        </w:tblPrEx>
        <w:trPr>
          <w:trHeight w:val="340" w:hRule="atLeast"/>
          <w:jc w:val="center"/>
        </w:trPr>
        <w:tc>
          <w:tcPr>
            <w:tcW w:w="1884"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vAlign w:val="center"/>
          </w:tcPr>
          <w:p>
            <w:pPr>
              <w:spacing w:line="240" w:lineRule="auto"/>
              <w:ind w:firstLine="0" w:firstLineChars="0"/>
              <w:jc w:val="center"/>
              <w:rPr>
                <w:rFonts w:eastAsia="宋体" w:cs="Times New Roman"/>
                <w:sz w:val="22"/>
                <w:szCs w:val="22"/>
              </w:rPr>
            </w:pPr>
            <w:r>
              <w:rPr>
                <w:rFonts w:eastAsia="宋体" w:cs="Times New Roman"/>
                <w:sz w:val="22"/>
                <w:szCs w:val="22"/>
              </w:rPr>
              <w:t>其他区县</w:t>
            </w:r>
          </w:p>
        </w:tc>
        <w:tc>
          <w:tcPr>
            <w:tcW w:w="1723"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vAlign w:val="center"/>
          </w:tcPr>
          <w:p>
            <w:pPr>
              <w:spacing w:line="240" w:lineRule="auto"/>
              <w:ind w:firstLine="0" w:firstLineChars="0"/>
              <w:jc w:val="center"/>
              <w:rPr>
                <w:rFonts w:eastAsia="宋体" w:cs="Times New Roman"/>
                <w:sz w:val="22"/>
                <w:szCs w:val="22"/>
              </w:rPr>
            </w:pPr>
            <w:r>
              <w:rPr>
                <w:rFonts w:eastAsia="宋体" w:cs="Times New Roman"/>
                <w:sz w:val="22"/>
                <w:szCs w:val="22"/>
              </w:rPr>
              <w:t>2025年底保有量</w:t>
            </w:r>
            <w:r>
              <w:rPr>
                <w:rFonts w:hint="eastAsia" w:eastAsia="宋体" w:cs="Times New Roman"/>
                <w:sz w:val="22"/>
                <w:szCs w:val="22"/>
              </w:rPr>
              <w:t>预测</w:t>
            </w:r>
            <w:r>
              <w:rPr>
                <w:rFonts w:eastAsia="宋体" w:cs="Times New Roman"/>
                <w:sz w:val="22"/>
                <w:szCs w:val="22"/>
              </w:rPr>
              <w:t>（万辆）</w:t>
            </w:r>
          </w:p>
        </w:tc>
        <w:tc>
          <w:tcPr>
            <w:tcW w:w="1723"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vAlign w:val="center"/>
          </w:tcPr>
          <w:p>
            <w:pPr>
              <w:spacing w:line="240" w:lineRule="auto"/>
              <w:ind w:firstLine="0" w:firstLineChars="0"/>
              <w:jc w:val="center"/>
              <w:rPr>
                <w:rFonts w:eastAsia="宋体" w:cs="Times New Roman"/>
                <w:sz w:val="22"/>
                <w:szCs w:val="22"/>
              </w:rPr>
            </w:pPr>
            <w:r>
              <w:rPr>
                <w:rFonts w:eastAsia="宋体" w:cs="Times New Roman"/>
                <w:sz w:val="22"/>
                <w:szCs w:val="22"/>
              </w:rPr>
              <w:t>2025年新能源车保有量占比</w:t>
            </w:r>
          </w:p>
        </w:tc>
        <w:tc>
          <w:tcPr>
            <w:tcW w:w="1723"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vAlign w:val="center"/>
          </w:tcPr>
          <w:p>
            <w:pPr>
              <w:spacing w:line="240" w:lineRule="auto"/>
              <w:ind w:firstLine="0" w:firstLineChars="0"/>
              <w:jc w:val="center"/>
              <w:rPr>
                <w:rFonts w:eastAsia="宋体" w:cs="Times New Roman"/>
                <w:sz w:val="22"/>
                <w:szCs w:val="22"/>
              </w:rPr>
            </w:pPr>
            <w:r>
              <w:rPr>
                <w:rFonts w:eastAsia="宋体" w:cs="Times New Roman"/>
                <w:sz w:val="22"/>
                <w:szCs w:val="22"/>
              </w:rPr>
              <w:t>2022年充电设施占比</w:t>
            </w:r>
          </w:p>
        </w:tc>
        <w:tc>
          <w:tcPr>
            <w:tcW w:w="1725"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vAlign w:val="center"/>
          </w:tcPr>
          <w:p>
            <w:pPr>
              <w:spacing w:line="240" w:lineRule="auto"/>
              <w:ind w:firstLine="0" w:firstLineChars="0"/>
              <w:jc w:val="center"/>
              <w:rPr>
                <w:rFonts w:eastAsia="宋体" w:cs="Times New Roman"/>
                <w:sz w:val="22"/>
                <w:szCs w:val="22"/>
              </w:rPr>
            </w:pPr>
            <w:r>
              <w:rPr>
                <w:rFonts w:eastAsia="宋体" w:cs="Times New Roman"/>
                <w:sz w:val="22"/>
                <w:szCs w:val="22"/>
              </w:rPr>
              <w:t>新能源</w:t>
            </w:r>
            <w:r>
              <w:rPr>
                <w:rFonts w:hint="eastAsia" w:eastAsia="宋体" w:cs="Times New Roman"/>
                <w:sz w:val="22"/>
                <w:szCs w:val="22"/>
              </w:rPr>
              <w:t>车</w:t>
            </w:r>
            <w:r>
              <w:rPr>
                <w:rFonts w:eastAsia="宋体" w:cs="Times New Roman"/>
                <w:sz w:val="22"/>
                <w:szCs w:val="22"/>
              </w:rPr>
              <w:t>增速与充电桩配建度比值</w:t>
            </w:r>
          </w:p>
        </w:tc>
      </w:tr>
      <w:tr>
        <w:tblPrEx>
          <w:tblCellMar>
            <w:top w:w="0" w:type="dxa"/>
            <w:left w:w="0" w:type="dxa"/>
            <w:bottom w:w="0" w:type="dxa"/>
            <w:right w:w="0" w:type="dxa"/>
          </w:tblCellMar>
        </w:tblPrEx>
        <w:trPr>
          <w:trHeight w:val="340" w:hRule="atLeast"/>
          <w:jc w:val="center"/>
        </w:trPr>
        <w:tc>
          <w:tcPr>
            <w:tcW w:w="188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上街区</w:t>
            </w:r>
          </w:p>
        </w:tc>
        <w:tc>
          <w:tcPr>
            <w:tcW w:w="172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1.1 </w:t>
            </w:r>
          </w:p>
        </w:tc>
        <w:tc>
          <w:tcPr>
            <w:tcW w:w="172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2%</w:t>
            </w:r>
          </w:p>
        </w:tc>
        <w:tc>
          <w:tcPr>
            <w:tcW w:w="17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1%</w:t>
            </w:r>
          </w:p>
        </w:tc>
        <w:tc>
          <w:tcPr>
            <w:tcW w:w="17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1.5 </w:t>
            </w:r>
          </w:p>
        </w:tc>
      </w:tr>
      <w:tr>
        <w:tblPrEx>
          <w:tblCellMar>
            <w:top w:w="0" w:type="dxa"/>
            <w:left w:w="0" w:type="dxa"/>
            <w:bottom w:w="0" w:type="dxa"/>
            <w:right w:w="0" w:type="dxa"/>
          </w:tblCellMar>
        </w:tblPrEx>
        <w:trPr>
          <w:trHeight w:val="340" w:hRule="atLeast"/>
          <w:jc w:val="center"/>
        </w:trPr>
        <w:tc>
          <w:tcPr>
            <w:tcW w:w="188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中牟县</w:t>
            </w:r>
          </w:p>
        </w:tc>
        <w:tc>
          <w:tcPr>
            <w:tcW w:w="172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3.1 </w:t>
            </w:r>
          </w:p>
        </w:tc>
        <w:tc>
          <w:tcPr>
            <w:tcW w:w="172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5%</w:t>
            </w:r>
          </w:p>
        </w:tc>
        <w:tc>
          <w:tcPr>
            <w:tcW w:w="17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4%</w:t>
            </w:r>
          </w:p>
        </w:tc>
        <w:tc>
          <w:tcPr>
            <w:tcW w:w="17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1.2 </w:t>
            </w:r>
          </w:p>
        </w:tc>
      </w:tr>
      <w:tr>
        <w:tblPrEx>
          <w:tblCellMar>
            <w:top w:w="0" w:type="dxa"/>
            <w:left w:w="0" w:type="dxa"/>
            <w:bottom w:w="0" w:type="dxa"/>
            <w:right w:w="0" w:type="dxa"/>
          </w:tblCellMar>
        </w:tblPrEx>
        <w:trPr>
          <w:trHeight w:val="340" w:hRule="atLeast"/>
          <w:jc w:val="center"/>
        </w:trPr>
        <w:tc>
          <w:tcPr>
            <w:tcW w:w="188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巩义市</w:t>
            </w:r>
          </w:p>
        </w:tc>
        <w:tc>
          <w:tcPr>
            <w:tcW w:w="172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3.9 </w:t>
            </w:r>
          </w:p>
        </w:tc>
        <w:tc>
          <w:tcPr>
            <w:tcW w:w="172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6%</w:t>
            </w:r>
          </w:p>
        </w:tc>
        <w:tc>
          <w:tcPr>
            <w:tcW w:w="17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2%</w:t>
            </w:r>
          </w:p>
        </w:tc>
        <w:tc>
          <w:tcPr>
            <w:tcW w:w="17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2.7 </w:t>
            </w:r>
          </w:p>
        </w:tc>
      </w:tr>
      <w:tr>
        <w:tblPrEx>
          <w:tblCellMar>
            <w:top w:w="0" w:type="dxa"/>
            <w:left w:w="0" w:type="dxa"/>
            <w:bottom w:w="0" w:type="dxa"/>
            <w:right w:w="0" w:type="dxa"/>
          </w:tblCellMar>
        </w:tblPrEx>
        <w:trPr>
          <w:trHeight w:val="340" w:hRule="atLeast"/>
          <w:jc w:val="center"/>
        </w:trPr>
        <w:tc>
          <w:tcPr>
            <w:tcW w:w="188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荥阳市</w:t>
            </w:r>
          </w:p>
        </w:tc>
        <w:tc>
          <w:tcPr>
            <w:tcW w:w="172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3.2 </w:t>
            </w:r>
          </w:p>
        </w:tc>
        <w:tc>
          <w:tcPr>
            <w:tcW w:w="172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5%</w:t>
            </w:r>
          </w:p>
        </w:tc>
        <w:tc>
          <w:tcPr>
            <w:tcW w:w="17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3%</w:t>
            </w:r>
          </w:p>
        </w:tc>
        <w:tc>
          <w:tcPr>
            <w:tcW w:w="17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1.7 </w:t>
            </w:r>
          </w:p>
        </w:tc>
      </w:tr>
      <w:tr>
        <w:tblPrEx>
          <w:tblCellMar>
            <w:top w:w="0" w:type="dxa"/>
            <w:left w:w="0" w:type="dxa"/>
            <w:bottom w:w="0" w:type="dxa"/>
            <w:right w:w="0" w:type="dxa"/>
          </w:tblCellMar>
        </w:tblPrEx>
        <w:trPr>
          <w:trHeight w:val="340" w:hRule="atLeast"/>
          <w:jc w:val="center"/>
        </w:trPr>
        <w:tc>
          <w:tcPr>
            <w:tcW w:w="188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新密市</w:t>
            </w:r>
          </w:p>
        </w:tc>
        <w:tc>
          <w:tcPr>
            <w:tcW w:w="172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3.7 </w:t>
            </w:r>
          </w:p>
        </w:tc>
        <w:tc>
          <w:tcPr>
            <w:tcW w:w="172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6%</w:t>
            </w:r>
          </w:p>
        </w:tc>
        <w:tc>
          <w:tcPr>
            <w:tcW w:w="17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3%</w:t>
            </w:r>
          </w:p>
        </w:tc>
        <w:tc>
          <w:tcPr>
            <w:tcW w:w="17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1.6 </w:t>
            </w:r>
          </w:p>
        </w:tc>
      </w:tr>
      <w:tr>
        <w:tblPrEx>
          <w:tblCellMar>
            <w:top w:w="0" w:type="dxa"/>
            <w:left w:w="0" w:type="dxa"/>
            <w:bottom w:w="0" w:type="dxa"/>
            <w:right w:w="0" w:type="dxa"/>
          </w:tblCellMar>
        </w:tblPrEx>
        <w:trPr>
          <w:trHeight w:val="340" w:hRule="atLeast"/>
          <w:jc w:val="center"/>
        </w:trPr>
        <w:tc>
          <w:tcPr>
            <w:tcW w:w="188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新郑市</w:t>
            </w:r>
          </w:p>
        </w:tc>
        <w:tc>
          <w:tcPr>
            <w:tcW w:w="172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5.8 </w:t>
            </w:r>
          </w:p>
        </w:tc>
        <w:tc>
          <w:tcPr>
            <w:tcW w:w="172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9%</w:t>
            </w:r>
          </w:p>
        </w:tc>
        <w:tc>
          <w:tcPr>
            <w:tcW w:w="17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9%</w:t>
            </w:r>
          </w:p>
        </w:tc>
        <w:tc>
          <w:tcPr>
            <w:tcW w:w="17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1.0 </w:t>
            </w:r>
          </w:p>
        </w:tc>
      </w:tr>
      <w:tr>
        <w:tblPrEx>
          <w:tblCellMar>
            <w:top w:w="0" w:type="dxa"/>
            <w:left w:w="0" w:type="dxa"/>
            <w:bottom w:w="0" w:type="dxa"/>
            <w:right w:w="0" w:type="dxa"/>
          </w:tblCellMar>
        </w:tblPrEx>
        <w:trPr>
          <w:trHeight w:val="340" w:hRule="atLeast"/>
          <w:jc w:val="center"/>
        </w:trPr>
        <w:tc>
          <w:tcPr>
            <w:tcW w:w="188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登封市</w:t>
            </w:r>
          </w:p>
        </w:tc>
        <w:tc>
          <w:tcPr>
            <w:tcW w:w="172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3.0 </w:t>
            </w:r>
          </w:p>
        </w:tc>
        <w:tc>
          <w:tcPr>
            <w:tcW w:w="172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4%</w:t>
            </w:r>
          </w:p>
        </w:tc>
        <w:tc>
          <w:tcPr>
            <w:tcW w:w="17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2%</w:t>
            </w:r>
          </w:p>
        </w:tc>
        <w:tc>
          <w:tcPr>
            <w:tcW w:w="17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2.1 </w:t>
            </w:r>
          </w:p>
        </w:tc>
      </w:tr>
      <w:tr>
        <w:tblPrEx>
          <w:tblCellMar>
            <w:top w:w="0" w:type="dxa"/>
            <w:left w:w="0" w:type="dxa"/>
            <w:bottom w:w="0" w:type="dxa"/>
            <w:right w:w="0" w:type="dxa"/>
          </w:tblCellMar>
        </w:tblPrEx>
        <w:trPr>
          <w:trHeight w:val="340" w:hRule="atLeast"/>
          <w:jc w:val="center"/>
        </w:trPr>
        <w:tc>
          <w:tcPr>
            <w:tcW w:w="188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航空港区</w:t>
            </w:r>
          </w:p>
        </w:tc>
        <w:tc>
          <w:tcPr>
            <w:tcW w:w="172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4.7 </w:t>
            </w:r>
          </w:p>
        </w:tc>
        <w:tc>
          <w:tcPr>
            <w:tcW w:w="172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7%</w:t>
            </w:r>
          </w:p>
        </w:tc>
        <w:tc>
          <w:tcPr>
            <w:tcW w:w="172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6%</w:t>
            </w:r>
          </w:p>
        </w:tc>
        <w:tc>
          <w:tcPr>
            <w:tcW w:w="17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1.2 </w:t>
            </w:r>
          </w:p>
        </w:tc>
      </w:tr>
      <w:tr>
        <w:tblPrEx>
          <w:tblCellMar>
            <w:top w:w="0" w:type="dxa"/>
            <w:left w:w="0" w:type="dxa"/>
            <w:bottom w:w="0" w:type="dxa"/>
            <w:right w:w="0" w:type="dxa"/>
          </w:tblCellMar>
        </w:tblPrEx>
        <w:trPr>
          <w:trHeight w:val="340" w:hRule="atLeast"/>
          <w:jc w:val="center"/>
        </w:trPr>
        <w:tc>
          <w:tcPr>
            <w:tcW w:w="1884"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vAlign w:val="center"/>
          </w:tcPr>
          <w:p>
            <w:pPr>
              <w:spacing w:line="240" w:lineRule="auto"/>
              <w:ind w:firstLine="0" w:firstLineChars="0"/>
              <w:jc w:val="center"/>
              <w:rPr>
                <w:rFonts w:eastAsia="宋体" w:cs="Times New Roman"/>
                <w:sz w:val="22"/>
                <w:szCs w:val="22"/>
              </w:rPr>
            </w:pPr>
            <w:r>
              <w:rPr>
                <w:rFonts w:eastAsia="宋体" w:cs="Times New Roman"/>
                <w:sz w:val="22"/>
                <w:szCs w:val="22"/>
              </w:rPr>
              <w:t>合计</w:t>
            </w:r>
          </w:p>
        </w:tc>
        <w:tc>
          <w:tcPr>
            <w:tcW w:w="1723"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vAlign w:val="center"/>
          </w:tcPr>
          <w:p>
            <w:pPr>
              <w:spacing w:line="240" w:lineRule="auto"/>
              <w:ind w:firstLine="0" w:firstLineChars="0"/>
              <w:jc w:val="center"/>
              <w:rPr>
                <w:rFonts w:eastAsia="宋体" w:cs="Times New Roman"/>
                <w:sz w:val="22"/>
                <w:szCs w:val="22"/>
              </w:rPr>
            </w:pPr>
            <w:r>
              <w:rPr>
                <w:rFonts w:eastAsia="宋体" w:cs="Times New Roman"/>
                <w:sz w:val="22"/>
                <w:szCs w:val="22"/>
              </w:rPr>
              <w:t>67</w:t>
            </w:r>
          </w:p>
        </w:tc>
        <w:tc>
          <w:tcPr>
            <w:tcW w:w="1723"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w:t>
            </w:r>
          </w:p>
        </w:tc>
        <w:tc>
          <w:tcPr>
            <w:tcW w:w="1723"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w:t>
            </w:r>
          </w:p>
        </w:tc>
        <w:tc>
          <w:tcPr>
            <w:tcW w:w="1725"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w:t>
            </w:r>
          </w:p>
        </w:tc>
      </w:tr>
    </w:tbl>
    <w:p>
      <w:pPr>
        <w:ind w:firstLine="0" w:firstLineChars="0"/>
        <w:jc w:val="center"/>
        <w:rPr>
          <w:b/>
          <w:bCs/>
          <w:sz w:val="24"/>
        </w:rPr>
      </w:pPr>
    </w:p>
    <w:p>
      <w:pPr>
        <w:ind w:firstLine="0" w:firstLineChars="0"/>
        <w:jc w:val="center"/>
        <w:rPr>
          <w:rFonts w:ascii="宋体" w:hAnsi="宋体" w:eastAsia="宋体" w:cs="宋体"/>
          <w:sz w:val="22"/>
          <w:szCs w:val="22"/>
        </w:rPr>
      </w:pPr>
      <w:r>
        <w:rPr>
          <w:rFonts w:hint="eastAsia"/>
          <w:b/>
          <w:bCs/>
          <w:sz w:val="24"/>
        </w:rPr>
        <w:t>表4-2  截至2025年末各区县充电设施配建任务预测</w:t>
      </w:r>
    </w:p>
    <w:tbl>
      <w:tblPr>
        <w:tblStyle w:val="17"/>
        <w:tblW w:w="8747"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03"/>
        <w:gridCol w:w="1240"/>
        <w:gridCol w:w="1240"/>
        <w:gridCol w:w="1240"/>
        <w:gridCol w:w="1240"/>
        <w:gridCol w:w="1240"/>
        <w:gridCol w:w="12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303" w:type="dxa"/>
            <w:tcBorders>
              <w:tl2br w:val="nil"/>
              <w:tr2bl w:val="nil"/>
            </w:tcBorders>
            <w:shd w:val="clear" w:color="auto" w:fill="D7D7D7" w:themeFill="background1" w:themeFillShade="D8"/>
            <w:vAlign w:val="center"/>
          </w:tcPr>
          <w:p>
            <w:pPr>
              <w:spacing w:line="240" w:lineRule="auto"/>
              <w:ind w:firstLine="0" w:firstLineChars="0"/>
              <w:jc w:val="center"/>
              <w:rPr>
                <w:rFonts w:eastAsia="宋体" w:cs="Times New Roman"/>
                <w:sz w:val="22"/>
                <w:szCs w:val="22"/>
              </w:rPr>
            </w:pPr>
            <w:r>
              <w:rPr>
                <w:rFonts w:eastAsia="宋体" w:cs="Times New Roman"/>
                <w:sz w:val="22"/>
                <w:szCs w:val="22"/>
              </w:rPr>
              <w:t>主城区</w:t>
            </w:r>
          </w:p>
        </w:tc>
        <w:tc>
          <w:tcPr>
            <w:tcW w:w="1240" w:type="dxa"/>
            <w:tcBorders>
              <w:tl2br w:val="nil"/>
              <w:tr2bl w:val="nil"/>
            </w:tcBorders>
            <w:shd w:val="clear" w:color="auto" w:fill="D7D7D7" w:themeFill="background1" w:themeFillShade="D8"/>
            <w:vAlign w:val="center"/>
          </w:tcPr>
          <w:p>
            <w:pPr>
              <w:spacing w:line="240" w:lineRule="auto"/>
              <w:ind w:firstLine="0" w:firstLineChars="0"/>
              <w:jc w:val="center"/>
              <w:rPr>
                <w:rFonts w:eastAsia="宋体" w:cs="Times New Roman"/>
                <w:sz w:val="22"/>
                <w:szCs w:val="22"/>
              </w:rPr>
            </w:pPr>
            <w:r>
              <w:rPr>
                <w:rFonts w:eastAsia="宋体" w:cs="Times New Roman"/>
                <w:sz w:val="22"/>
                <w:szCs w:val="22"/>
              </w:rPr>
              <w:t>新能源车保有量占比</w:t>
            </w:r>
          </w:p>
        </w:tc>
        <w:tc>
          <w:tcPr>
            <w:tcW w:w="1240" w:type="dxa"/>
            <w:tcBorders>
              <w:tl2br w:val="nil"/>
              <w:tr2bl w:val="nil"/>
            </w:tcBorders>
            <w:shd w:val="clear" w:color="auto" w:fill="D7D7D7" w:themeFill="background1" w:themeFillShade="D8"/>
            <w:vAlign w:val="center"/>
          </w:tcPr>
          <w:p>
            <w:pPr>
              <w:spacing w:line="240" w:lineRule="auto"/>
              <w:ind w:firstLine="0" w:firstLineChars="0"/>
              <w:jc w:val="center"/>
              <w:rPr>
                <w:rFonts w:eastAsia="宋体" w:cs="Times New Roman"/>
                <w:sz w:val="22"/>
                <w:szCs w:val="22"/>
              </w:rPr>
            </w:pPr>
            <w:r>
              <w:rPr>
                <w:rFonts w:eastAsia="宋体" w:cs="Times New Roman"/>
                <w:sz w:val="22"/>
                <w:szCs w:val="22"/>
              </w:rPr>
              <w:t>新增公/专用（万个）</w:t>
            </w:r>
          </w:p>
        </w:tc>
        <w:tc>
          <w:tcPr>
            <w:tcW w:w="1240" w:type="dxa"/>
            <w:tcBorders>
              <w:tl2br w:val="nil"/>
              <w:tr2bl w:val="nil"/>
            </w:tcBorders>
            <w:shd w:val="clear" w:color="auto" w:fill="D7D7D7" w:themeFill="background1" w:themeFillShade="D8"/>
            <w:vAlign w:val="center"/>
          </w:tcPr>
          <w:p>
            <w:pPr>
              <w:spacing w:line="240" w:lineRule="auto"/>
              <w:ind w:firstLine="0" w:firstLineChars="0"/>
              <w:jc w:val="center"/>
              <w:rPr>
                <w:rFonts w:eastAsia="宋体" w:cs="Times New Roman"/>
                <w:sz w:val="22"/>
                <w:szCs w:val="22"/>
              </w:rPr>
            </w:pPr>
            <w:r>
              <w:rPr>
                <w:rFonts w:eastAsia="宋体" w:cs="Times New Roman"/>
                <w:sz w:val="22"/>
                <w:szCs w:val="22"/>
              </w:rPr>
              <w:t>新增居民区设施（万个）</w:t>
            </w:r>
          </w:p>
        </w:tc>
        <w:tc>
          <w:tcPr>
            <w:tcW w:w="1240" w:type="dxa"/>
            <w:tcBorders>
              <w:tl2br w:val="nil"/>
              <w:tr2bl w:val="nil"/>
            </w:tcBorders>
            <w:shd w:val="clear" w:color="auto" w:fill="D7D7D7" w:themeFill="background1" w:themeFillShade="D8"/>
            <w:vAlign w:val="center"/>
          </w:tcPr>
          <w:p>
            <w:pPr>
              <w:spacing w:line="240" w:lineRule="auto"/>
              <w:ind w:firstLine="0" w:firstLineChars="0"/>
              <w:jc w:val="center"/>
              <w:rPr>
                <w:rFonts w:eastAsia="宋体" w:cs="Times New Roman"/>
                <w:sz w:val="22"/>
                <w:szCs w:val="22"/>
              </w:rPr>
            </w:pPr>
            <w:r>
              <w:rPr>
                <w:rFonts w:eastAsia="宋体" w:cs="Times New Roman"/>
                <w:sz w:val="22"/>
                <w:szCs w:val="22"/>
              </w:rPr>
              <w:t>新增换电站（座）</w:t>
            </w:r>
          </w:p>
        </w:tc>
        <w:tc>
          <w:tcPr>
            <w:tcW w:w="1240" w:type="dxa"/>
            <w:tcBorders>
              <w:tl2br w:val="nil"/>
              <w:tr2bl w:val="nil"/>
            </w:tcBorders>
            <w:shd w:val="clear" w:color="auto" w:fill="D7D7D7" w:themeFill="background1" w:themeFillShade="D8"/>
            <w:vAlign w:val="center"/>
          </w:tcPr>
          <w:p>
            <w:pPr>
              <w:spacing w:line="240" w:lineRule="auto"/>
              <w:ind w:firstLine="0" w:firstLineChars="0"/>
              <w:jc w:val="center"/>
              <w:rPr>
                <w:rFonts w:eastAsia="宋体" w:cs="Times New Roman"/>
                <w:sz w:val="22"/>
                <w:szCs w:val="22"/>
              </w:rPr>
            </w:pPr>
            <w:r>
              <w:rPr>
                <w:rFonts w:eastAsia="宋体" w:cs="Times New Roman"/>
                <w:sz w:val="22"/>
                <w:szCs w:val="22"/>
              </w:rPr>
              <w:t>新增超充站（座）</w:t>
            </w:r>
          </w:p>
        </w:tc>
        <w:tc>
          <w:tcPr>
            <w:tcW w:w="1244" w:type="dxa"/>
            <w:tcBorders>
              <w:tl2br w:val="nil"/>
              <w:tr2bl w:val="nil"/>
            </w:tcBorders>
            <w:shd w:val="clear" w:color="auto" w:fill="D7D7D7" w:themeFill="background1" w:themeFillShade="D8"/>
            <w:vAlign w:val="center"/>
          </w:tcPr>
          <w:p>
            <w:pPr>
              <w:spacing w:line="240" w:lineRule="auto"/>
              <w:ind w:firstLine="0" w:firstLineChars="0"/>
              <w:jc w:val="center"/>
              <w:rPr>
                <w:rFonts w:eastAsia="宋体" w:cs="Times New Roman"/>
                <w:sz w:val="22"/>
                <w:szCs w:val="22"/>
              </w:rPr>
            </w:pPr>
            <w:r>
              <w:rPr>
                <w:rFonts w:eastAsia="宋体" w:cs="Times New Roman"/>
                <w:sz w:val="22"/>
                <w:szCs w:val="22"/>
              </w:rPr>
              <w:t>新增乡镇充电站（座）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303" w:type="dxa"/>
            <w:tcBorders>
              <w:tl2br w:val="nil"/>
              <w:tr2bl w:val="nil"/>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中原区</w:t>
            </w:r>
          </w:p>
        </w:tc>
        <w:tc>
          <w:tcPr>
            <w:tcW w:w="1240" w:type="dxa"/>
            <w:tcBorders>
              <w:tl2br w:val="nil"/>
              <w:tr2bl w:val="nil"/>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7%</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0.16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1.13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21 </w:t>
            </w:r>
          </w:p>
        </w:tc>
        <w:tc>
          <w:tcPr>
            <w:tcW w:w="1244"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303" w:type="dxa"/>
            <w:tcBorders>
              <w:tl2br w:val="nil"/>
              <w:tr2bl w:val="nil"/>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二七区</w:t>
            </w:r>
          </w:p>
        </w:tc>
        <w:tc>
          <w:tcPr>
            <w:tcW w:w="1240" w:type="dxa"/>
            <w:tcBorders>
              <w:tl2br w:val="nil"/>
              <w:tr2bl w:val="nil"/>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7%</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0.17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1.18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2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22 </w:t>
            </w:r>
          </w:p>
        </w:tc>
        <w:tc>
          <w:tcPr>
            <w:tcW w:w="1244"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303" w:type="dxa"/>
            <w:tcBorders>
              <w:tl2br w:val="nil"/>
              <w:tr2bl w:val="nil"/>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管城回族区</w:t>
            </w:r>
          </w:p>
        </w:tc>
        <w:tc>
          <w:tcPr>
            <w:tcW w:w="1240" w:type="dxa"/>
            <w:tcBorders>
              <w:tl2br w:val="nil"/>
              <w:tr2bl w:val="nil"/>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6%</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0.15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1.02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2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19 </w:t>
            </w:r>
          </w:p>
        </w:tc>
        <w:tc>
          <w:tcPr>
            <w:tcW w:w="1244"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303" w:type="dxa"/>
            <w:tcBorders>
              <w:tl2br w:val="nil"/>
              <w:tr2bl w:val="nil"/>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金水区</w:t>
            </w:r>
          </w:p>
        </w:tc>
        <w:tc>
          <w:tcPr>
            <w:tcW w:w="1240" w:type="dxa"/>
            <w:tcBorders>
              <w:tl2br w:val="nil"/>
              <w:tr2bl w:val="nil"/>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10%</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0.24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1.68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2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31 </w:t>
            </w:r>
          </w:p>
        </w:tc>
        <w:tc>
          <w:tcPr>
            <w:tcW w:w="1244"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303" w:type="dxa"/>
            <w:tcBorders>
              <w:tl2br w:val="nil"/>
              <w:tr2bl w:val="nil"/>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惠济区</w:t>
            </w:r>
          </w:p>
        </w:tc>
        <w:tc>
          <w:tcPr>
            <w:tcW w:w="1240" w:type="dxa"/>
            <w:tcBorders>
              <w:tl2br w:val="nil"/>
              <w:tr2bl w:val="nil"/>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4%</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0.10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0.68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13 </w:t>
            </w:r>
          </w:p>
        </w:tc>
        <w:tc>
          <w:tcPr>
            <w:tcW w:w="1244"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303" w:type="dxa"/>
            <w:tcBorders>
              <w:tl2br w:val="nil"/>
              <w:tr2bl w:val="nil"/>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经开区</w:t>
            </w:r>
          </w:p>
        </w:tc>
        <w:tc>
          <w:tcPr>
            <w:tcW w:w="1240" w:type="dxa"/>
            <w:tcBorders>
              <w:tl2br w:val="nil"/>
              <w:tr2bl w:val="nil"/>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7%</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0.16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1.11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21 </w:t>
            </w:r>
          </w:p>
        </w:tc>
        <w:tc>
          <w:tcPr>
            <w:tcW w:w="1244"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303" w:type="dxa"/>
            <w:tcBorders>
              <w:tl2br w:val="nil"/>
              <w:tr2bl w:val="nil"/>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高新区</w:t>
            </w:r>
          </w:p>
        </w:tc>
        <w:tc>
          <w:tcPr>
            <w:tcW w:w="1240" w:type="dxa"/>
            <w:tcBorders>
              <w:tl2br w:val="nil"/>
              <w:tr2bl w:val="nil"/>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4%</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0.10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0.70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13 </w:t>
            </w:r>
          </w:p>
        </w:tc>
        <w:tc>
          <w:tcPr>
            <w:tcW w:w="1244"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303" w:type="dxa"/>
            <w:tcBorders>
              <w:tl2br w:val="nil"/>
              <w:tr2bl w:val="nil"/>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郑东新区</w:t>
            </w:r>
          </w:p>
        </w:tc>
        <w:tc>
          <w:tcPr>
            <w:tcW w:w="1240" w:type="dxa"/>
            <w:tcBorders>
              <w:tl2br w:val="nil"/>
              <w:tr2bl w:val="nil"/>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11%</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0.24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1.68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2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32 </w:t>
            </w:r>
          </w:p>
        </w:tc>
        <w:tc>
          <w:tcPr>
            <w:tcW w:w="1244"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303" w:type="dxa"/>
            <w:tcBorders>
              <w:tl2br w:val="nil"/>
              <w:tr2bl w:val="nil"/>
            </w:tcBorders>
            <w:shd w:val="clear" w:color="auto" w:fill="D7D7D7" w:themeFill="background1" w:themeFillShade="D8"/>
            <w:vAlign w:val="center"/>
          </w:tcPr>
          <w:p>
            <w:pPr>
              <w:spacing w:line="240" w:lineRule="auto"/>
              <w:ind w:firstLine="0" w:firstLineChars="0"/>
              <w:jc w:val="center"/>
              <w:rPr>
                <w:rFonts w:eastAsia="宋体" w:cs="Times New Roman"/>
                <w:sz w:val="22"/>
                <w:szCs w:val="22"/>
              </w:rPr>
            </w:pPr>
            <w:r>
              <w:rPr>
                <w:rFonts w:eastAsia="宋体" w:cs="Times New Roman"/>
                <w:sz w:val="22"/>
                <w:szCs w:val="22"/>
              </w:rPr>
              <w:t>其他区县</w:t>
            </w:r>
          </w:p>
        </w:tc>
        <w:tc>
          <w:tcPr>
            <w:tcW w:w="1240" w:type="dxa"/>
            <w:tcBorders>
              <w:tl2br w:val="nil"/>
              <w:tr2bl w:val="nil"/>
            </w:tcBorders>
            <w:shd w:val="clear" w:color="auto" w:fill="D7D7D7" w:themeFill="background1" w:themeFillShade="D8"/>
            <w:vAlign w:val="center"/>
          </w:tcPr>
          <w:p>
            <w:pPr>
              <w:spacing w:line="240" w:lineRule="auto"/>
              <w:ind w:firstLine="0" w:firstLineChars="0"/>
              <w:jc w:val="center"/>
              <w:rPr>
                <w:rFonts w:eastAsia="宋体" w:cs="Times New Roman"/>
                <w:sz w:val="22"/>
                <w:szCs w:val="22"/>
              </w:rPr>
            </w:pPr>
            <w:r>
              <w:rPr>
                <w:rFonts w:eastAsia="宋体" w:cs="Times New Roman"/>
                <w:sz w:val="22"/>
                <w:szCs w:val="22"/>
              </w:rPr>
              <w:t>新能源车保有量占比</w:t>
            </w:r>
          </w:p>
        </w:tc>
        <w:tc>
          <w:tcPr>
            <w:tcW w:w="1240" w:type="dxa"/>
            <w:tcBorders>
              <w:tl2br w:val="nil"/>
              <w:tr2bl w:val="nil"/>
            </w:tcBorders>
            <w:shd w:val="clear" w:color="auto" w:fill="D7D7D7" w:themeFill="background1" w:themeFillShade="D8"/>
            <w:vAlign w:val="center"/>
          </w:tcPr>
          <w:p>
            <w:pPr>
              <w:spacing w:line="240" w:lineRule="auto"/>
              <w:ind w:firstLine="0" w:firstLineChars="0"/>
              <w:jc w:val="center"/>
              <w:rPr>
                <w:rFonts w:eastAsia="宋体" w:cs="Times New Roman"/>
                <w:sz w:val="22"/>
                <w:szCs w:val="22"/>
              </w:rPr>
            </w:pPr>
            <w:r>
              <w:rPr>
                <w:rFonts w:eastAsia="宋体" w:cs="Times New Roman"/>
                <w:sz w:val="22"/>
                <w:szCs w:val="22"/>
              </w:rPr>
              <w:t>新增公/专用（万个）</w:t>
            </w:r>
          </w:p>
        </w:tc>
        <w:tc>
          <w:tcPr>
            <w:tcW w:w="1240" w:type="dxa"/>
            <w:tcBorders>
              <w:tl2br w:val="nil"/>
              <w:tr2bl w:val="nil"/>
            </w:tcBorders>
            <w:shd w:val="clear" w:color="auto" w:fill="D7D7D7" w:themeFill="background1" w:themeFillShade="D8"/>
            <w:vAlign w:val="center"/>
          </w:tcPr>
          <w:p>
            <w:pPr>
              <w:spacing w:line="240" w:lineRule="auto"/>
              <w:ind w:firstLine="0" w:firstLineChars="0"/>
              <w:jc w:val="center"/>
              <w:rPr>
                <w:rFonts w:eastAsia="宋体" w:cs="Times New Roman"/>
                <w:sz w:val="22"/>
                <w:szCs w:val="22"/>
              </w:rPr>
            </w:pPr>
            <w:r>
              <w:rPr>
                <w:rFonts w:eastAsia="宋体" w:cs="Times New Roman"/>
                <w:sz w:val="22"/>
                <w:szCs w:val="22"/>
              </w:rPr>
              <w:t>新增居民区设施（万个）</w:t>
            </w:r>
          </w:p>
        </w:tc>
        <w:tc>
          <w:tcPr>
            <w:tcW w:w="1240" w:type="dxa"/>
            <w:tcBorders>
              <w:tl2br w:val="nil"/>
              <w:tr2bl w:val="nil"/>
            </w:tcBorders>
            <w:shd w:val="clear" w:color="auto" w:fill="D7D7D7" w:themeFill="background1" w:themeFillShade="D8"/>
            <w:vAlign w:val="center"/>
          </w:tcPr>
          <w:p>
            <w:pPr>
              <w:spacing w:line="240" w:lineRule="auto"/>
              <w:ind w:firstLine="0" w:firstLineChars="0"/>
              <w:jc w:val="center"/>
              <w:rPr>
                <w:rFonts w:eastAsia="宋体" w:cs="Times New Roman"/>
                <w:sz w:val="22"/>
                <w:szCs w:val="22"/>
              </w:rPr>
            </w:pPr>
            <w:r>
              <w:rPr>
                <w:rFonts w:eastAsia="宋体" w:cs="Times New Roman"/>
                <w:sz w:val="22"/>
                <w:szCs w:val="22"/>
              </w:rPr>
              <w:t>新增换电站（座）</w:t>
            </w:r>
          </w:p>
        </w:tc>
        <w:tc>
          <w:tcPr>
            <w:tcW w:w="1240" w:type="dxa"/>
            <w:tcBorders>
              <w:tl2br w:val="nil"/>
              <w:tr2bl w:val="nil"/>
            </w:tcBorders>
            <w:shd w:val="clear" w:color="auto" w:fill="D7D7D7" w:themeFill="background1" w:themeFillShade="D8"/>
            <w:vAlign w:val="center"/>
          </w:tcPr>
          <w:p>
            <w:pPr>
              <w:spacing w:line="240" w:lineRule="auto"/>
              <w:ind w:firstLine="0" w:firstLineChars="0"/>
              <w:jc w:val="center"/>
              <w:rPr>
                <w:rFonts w:eastAsia="宋体" w:cs="Times New Roman"/>
                <w:sz w:val="22"/>
                <w:szCs w:val="22"/>
              </w:rPr>
            </w:pPr>
            <w:r>
              <w:rPr>
                <w:rFonts w:eastAsia="宋体" w:cs="Times New Roman"/>
                <w:sz w:val="22"/>
                <w:szCs w:val="22"/>
              </w:rPr>
              <w:t>新增超充站（座）</w:t>
            </w:r>
          </w:p>
        </w:tc>
        <w:tc>
          <w:tcPr>
            <w:tcW w:w="1244" w:type="dxa"/>
            <w:tcBorders>
              <w:tl2br w:val="nil"/>
              <w:tr2bl w:val="nil"/>
            </w:tcBorders>
            <w:shd w:val="clear" w:color="auto" w:fill="D7D7D7" w:themeFill="background1" w:themeFillShade="D8"/>
            <w:vAlign w:val="center"/>
          </w:tcPr>
          <w:p>
            <w:pPr>
              <w:spacing w:line="240" w:lineRule="auto"/>
              <w:ind w:firstLine="0" w:firstLineChars="0"/>
              <w:jc w:val="center"/>
              <w:rPr>
                <w:rFonts w:eastAsia="宋体" w:cs="Times New Roman"/>
                <w:sz w:val="22"/>
                <w:szCs w:val="22"/>
              </w:rPr>
            </w:pPr>
            <w:r>
              <w:rPr>
                <w:rFonts w:eastAsia="宋体" w:cs="Times New Roman"/>
                <w:sz w:val="22"/>
                <w:szCs w:val="22"/>
              </w:rPr>
              <w:t>新增乡镇充电站（座）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303" w:type="dxa"/>
            <w:tcBorders>
              <w:tl2br w:val="nil"/>
              <w:tr2bl w:val="nil"/>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上街区</w:t>
            </w:r>
          </w:p>
        </w:tc>
        <w:tc>
          <w:tcPr>
            <w:tcW w:w="1240" w:type="dxa"/>
            <w:tcBorders>
              <w:tl2br w:val="nil"/>
              <w:tr2bl w:val="nil"/>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2%</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0.04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0.26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5 </w:t>
            </w:r>
          </w:p>
        </w:tc>
        <w:tc>
          <w:tcPr>
            <w:tcW w:w="1244"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303" w:type="dxa"/>
            <w:tcBorders>
              <w:tl2br w:val="nil"/>
              <w:tr2bl w:val="nil"/>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中牟县</w:t>
            </w:r>
          </w:p>
        </w:tc>
        <w:tc>
          <w:tcPr>
            <w:tcW w:w="1240" w:type="dxa"/>
            <w:tcBorders>
              <w:tl2br w:val="nil"/>
              <w:tr2bl w:val="nil"/>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5%</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0.11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0.75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14 </w:t>
            </w:r>
          </w:p>
        </w:tc>
        <w:tc>
          <w:tcPr>
            <w:tcW w:w="1244"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303" w:type="dxa"/>
            <w:tcBorders>
              <w:tl2br w:val="nil"/>
              <w:tr2bl w:val="nil"/>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巩义市</w:t>
            </w:r>
          </w:p>
        </w:tc>
        <w:tc>
          <w:tcPr>
            <w:tcW w:w="1240" w:type="dxa"/>
            <w:tcBorders>
              <w:tl2br w:val="nil"/>
              <w:tr2bl w:val="nil"/>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6%</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0.13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0.94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18 </w:t>
            </w:r>
          </w:p>
        </w:tc>
        <w:tc>
          <w:tcPr>
            <w:tcW w:w="1244"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303" w:type="dxa"/>
            <w:tcBorders>
              <w:tl2br w:val="nil"/>
              <w:tr2bl w:val="nil"/>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荥阳市</w:t>
            </w:r>
          </w:p>
        </w:tc>
        <w:tc>
          <w:tcPr>
            <w:tcW w:w="1240" w:type="dxa"/>
            <w:tcBorders>
              <w:tl2br w:val="nil"/>
              <w:tr2bl w:val="nil"/>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5%</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0.11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0.76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14 </w:t>
            </w:r>
          </w:p>
        </w:tc>
        <w:tc>
          <w:tcPr>
            <w:tcW w:w="1244"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303" w:type="dxa"/>
            <w:tcBorders>
              <w:tl2br w:val="nil"/>
              <w:tr2bl w:val="nil"/>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新密市</w:t>
            </w:r>
          </w:p>
        </w:tc>
        <w:tc>
          <w:tcPr>
            <w:tcW w:w="1240" w:type="dxa"/>
            <w:tcBorders>
              <w:tl2br w:val="nil"/>
              <w:tr2bl w:val="nil"/>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6%</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0.13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0.89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17 </w:t>
            </w:r>
          </w:p>
        </w:tc>
        <w:tc>
          <w:tcPr>
            <w:tcW w:w="1244"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303" w:type="dxa"/>
            <w:tcBorders>
              <w:tl2br w:val="nil"/>
              <w:tr2bl w:val="nil"/>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新郑市</w:t>
            </w:r>
          </w:p>
        </w:tc>
        <w:tc>
          <w:tcPr>
            <w:tcW w:w="1240" w:type="dxa"/>
            <w:tcBorders>
              <w:tl2br w:val="nil"/>
              <w:tr2bl w:val="nil"/>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9%</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0.20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1.38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2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26 </w:t>
            </w:r>
          </w:p>
        </w:tc>
        <w:tc>
          <w:tcPr>
            <w:tcW w:w="1244"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303" w:type="dxa"/>
            <w:tcBorders>
              <w:tl2br w:val="nil"/>
              <w:tr2bl w:val="nil"/>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登封市</w:t>
            </w:r>
          </w:p>
        </w:tc>
        <w:tc>
          <w:tcPr>
            <w:tcW w:w="1240" w:type="dxa"/>
            <w:tcBorders>
              <w:tl2br w:val="nil"/>
              <w:tr2bl w:val="nil"/>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4%</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0.10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0.70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13 </w:t>
            </w:r>
          </w:p>
        </w:tc>
        <w:tc>
          <w:tcPr>
            <w:tcW w:w="1244"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303" w:type="dxa"/>
            <w:tcBorders>
              <w:tl2br w:val="nil"/>
              <w:tr2bl w:val="nil"/>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航空港区</w:t>
            </w:r>
          </w:p>
        </w:tc>
        <w:tc>
          <w:tcPr>
            <w:tcW w:w="1240" w:type="dxa"/>
            <w:tcBorders>
              <w:tl2br w:val="nil"/>
              <w:tr2bl w:val="nil"/>
            </w:tcBorders>
            <w:shd w:val="clear" w:color="auto" w:fill="auto"/>
            <w:vAlign w:val="center"/>
          </w:tcPr>
          <w:p>
            <w:pPr>
              <w:spacing w:line="240" w:lineRule="auto"/>
              <w:ind w:firstLine="0" w:firstLineChars="0"/>
              <w:jc w:val="center"/>
              <w:rPr>
                <w:rFonts w:eastAsia="宋体" w:cs="Times New Roman"/>
                <w:sz w:val="22"/>
                <w:szCs w:val="22"/>
              </w:rPr>
            </w:pPr>
            <w:r>
              <w:rPr>
                <w:rFonts w:eastAsia="宋体" w:cs="Times New Roman"/>
                <w:sz w:val="22"/>
                <w:szCs w:val="22"/>
              </w:rPr>
              <w:t>7%</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0.16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1.13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 </w:t>
            </w:r>
          </w:p>
        </w:tc>
        <w:tc>
          <w:tcPr>
            <w:tcW w:w="1240"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21 </w:t>
            </w:r>
          </w:p>
        </w:tc>
        <w:tc>
          <w:tcPr>
            <w:tcW w:w="1244" w:type="dxa"/>
            <w:tcBorders>
              <w:tl2br w:val="nil"/>
              <w:tr2bl w:val="nil"/>
            </w:tcBorders>
            <w:shd w:val="clear" w:color="auto" w:fill="auto"/>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0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303" w:type="dxa"/>
            <w:tcBorders>
              <w:tl2br w:val="nil"/>
              <w:tr2bl w:val="nil"/>
            </w:tcBorders>
            <w:shd w:val="clear" w:color="auto" w:fill="D7D7D7" w:themeFill="background1" w:themeFillShade="D8"/>
            <w:vAlign w:val="center"/>
          </w:tcPr>
          <w:p>
            <w:pPr>
              <w:spacing w:line="240" w:lineRule="auto"/>
              <w:ind w:firstLine="0" w:firstLineChars="0"/>
              <w:jc w:val="center"/>
              <w:rPr>
                <w:rFonts w:eastAsia="宋体" w:cs="Times New Roman"/>
                <w:sz w:val="22"/>
                <w:szCs w:val="22"/>
              </w:rPr>
            </w:pPr>
            <w:r>
              <w:rPr>
                <w:rFonts w:eastAsia="宋体" w:cs="Times New Roman"/>
                <w:sz w:val="22"/>
                <w:szCs w:val="22"/>
              </w:rPr>
              <w:t>合计</w:t>
            </w:r>
          </w:p>
        </w:tc>
        <w:tc>
          <w:tcPr>
            <w:tcW w:w="1240" w:type="dxa"/>
            <w:tcBorders>
              <w:tl2br w:val="nil"/>
              <w:tr2bl w:val="nil"/>
            </w:tcBorders>
            <w:shd w:val="clear" w:color="auto" w:fill="D7D7D7" w:themeFill="background1" w:themeFillShade="D8"/>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100%</w:t>
            </w:r>
          </w:p>
        </w:tc>
        <w:tc>
          <w:tcPr>
            <w:tcW w:w="1240" w:type="dxa"/>
            <w:tcBorders>
              <w:tl2br w:val="nil"/>
              <w:tr2bl w:val="nil"/>
            </w:tcBorders>
            <w:shd w:val="clear" w:color="auto" w:fill="D7D7D7" w:themeFill="background1" w:themeFillShade="D8"/>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2.3 </w:t>
            </w:r>
          </w:p>
        </w:tc>
        <w:tc>
          <w:tcPr>
            <w:tcW w:w="1240" w:type="dxa"/>
            <w:tcBorders>
              <w:tl2br w:val="nil"/>
              <w:tr2bl w:val="nil"/>
            </w:tcBorders>
            <w:shd w:val="clear" w:color="auto" w:fill="D7D7D7" w:themeFill="background1" w:themeFillShade="D8"/>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 xml:space="preserve">16.0 </w:t>
            </w:r>
          </w:p>
        </w:tc>
        <w:tc>
          <w:tcPr>
            <w:tcW w:w="1240" w:type="dxa"/>
            <w:tcBorders>
              <w:tl2br w:val="nil"/>
              <w:tr2bl w:val="nil"/>
            </w:tcBorders>
            <w:shd w:val="clear" w:color="auto" w:fill="D7D7D7" w:themeFill="background1" w:themeFillShade="D8"/>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20</w:t>
            </w:r>
          </w:p>
        </w:tc>
        <w:tc>
          <w:tcPr>
            <w:tcW w:w="1240" w:type="dxa"/>
            <w:tcBorders>
              <w:tl2br w:val="nil"/>
              <w:tr2bl w:val="nil"/>
            </w:tcBorders>
            <w:shd w:val="clear" w:color="auto" w:fill="D7D7D7" w:themeFill="background1" w:themeFillShade="D8"/>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300</w:t>
            </w:r>
          </w:p>
        </w:tc>
        <w:tc>
          <w:tcPr>
            <w:tcW w:w="1244" w:type="dxa"/>
            <w:tcBorders>
              <w:tl2br w:val="nil"/>
              <w:tr2bl w:val="nil"/>
            </w:tcBorders>
            <w:shd w:val="clear" w:color="auto" w:fill="D7D7D7" w:themeFill="background1" w:themeFillShade="D8"/>
            <w:noWrap/>
            <w:vAlign w:val="center"/>
          </w:tcPr>
          <w:p>
            <w:pPr>
              <w:spacing w:line="240" w:lineRule="auto"/>
              <w:ind w:firstLine="0" w:firstLineChars="0"/>
              <w:jc w:val="center"/>
              <w:rPr>
                <w:rFonts w:eastAsia="宋体" w:cs="Times New Roman"/>
                <w:sz w:val="22"/>
                <w:szCs w:val="22"/>
              </w:rPr>
            </w:pPr>
            <w:r>
              <w:rPr>
                <w:rFonts w:eastAsia="宋体" w:cs="Times New Roman"/>
                <w:sz w:val="22"/>
                <w:szCs w:val="22"/>
              </w:rPr>
              <w:t>458</w:t>
            </w:r>
          </w:p>
        </w:tc>
      </w:tr>
    </w:tbl>
    <w:p>
      <w:pPr>
        <w:ind w:firstLine="640"/>
      </w:pPr>
      <w:r>
        <w:rPr>
          <w:rFonts w:hint="eastAsia"/>
        </w:rPr>
        <w:t>根据上表2025年各区县充电设施配建任务预测，截至2025年，主城区需要新建1.3万个公（专）用充电设施、9万个居民区充电设施，换电站12座；其他区县需要新建1.0万个公（专）用充电设施、7万个居民区充电设施、换电站8座；全市建设超级充电站300座；周边县市乡镇地区新建充电站458座、充电设施4580个。</w:t>
      </w:r>
    </w:p>
    <w:p>
      <w:pPr>
        <w:pStyle w:val="2"/>
        <w:spacing w:after="0" w:afterLines="0"/>
      </w:pPr>
      <w:bookmarkStart w:id="101" w:name="_Toc7143"/>
      <w:r>
        <w:rPr>
          <w:rFonts w:hint="eastAsia"/>
        </w:rPr>
        <w:t>第五章 布局规划</w:t>
      </w:r>
      <w:bookmarkEnd w:id="101"/>
    </w:p>
    <w:p>
      <w:pPr>
        <w:pStyle w:val="3"/>
        <w:ind w:firstLine="640"/>
      </w:pPr>
      <w:bookmarkStart w:id="102" w:name="_Toc26722"/>
      <w:r>
        <w:rPr>
          <w:rFonts w:hint="eastAsia"/>
        </w:rPr>
        <w:t>一、规划思路</w:t>
      </w:r>
    </w:p>
    <w:p>
      <w:pPr>
        <w:ind w:firstLine="643"/>
      </w:pPr>
      <w:r>
        <w:rPr>
          <w:rFonts w:hint="eastAsia"/>
          <w:b/>
          <w:bCs/>
        </w:rPr>
        <w:t>满足城市空间规划要求。</w:t>
      </w:r>
      <w:r>
        <w:rPr>
          <w:rFonts w:hint="eastAsia"/>
        </w:rPr>
        <w:t>充电站的选址布局应结合城市建设规划和路网规划，以网点总体布局规划为宏观指导，经过对布局网点周边的商业环境、交通便利性、电力条件、人流密集度等因素综合评估，确定网点建设用地。</w:t>
      </w:r>
    </w:p>
    <w:p>
      <w:pPr>
        <w:ind w:firstLine="643"/>
      </w:pPr>
      <w:r>
        <w:rPr>
          <w:rFonts w:hint="eastAsia"/>
          <w:b/>
          <w:bCs/>
        </w:rPr>
        <w:t>符合充电服务半径要求。</w:t>
      </w:r>
      <w:r>
        <w:rPr>
          <w:rFonts w:hint="eastAsia"/>
        </w:rPr>
        <w:t>充电站服务半径是以满足新能源汽车充电需求为目的，以优化资源配置为目标而形成的充电服务范围。充电站分布应与新能源汽车交通密度和充电需求的分布尽可能一致。郑州市城市核心区公共充电设施服务半径应满足小于1公里的要求。</w:t>
      </w:r>
    </w:p>
    <w:p>
      <w:pPr>
        <w:ind w:firstLine="643"/>
      </w:pPr>
      <w:r>
        <w:rPr>
          <w:rFonts w:hint="eastAsia"/>
          <w:b/>
          <w:bCs/>
        </w:rPr>
        <w:t>提升公共充电设施服务能力。</w:t>
      </w:r>
      <w:r>
        <w:rPr>
          <w:rFonts w:hint="eastAsia"/>
        </w:rPr>
        <w:t>充电站规划应考虑城市存量充电站点位分布、场站规模以及新能源汽车增长趋势，优化存量充电站布局结构、设施类型，改善城乡分布不均情况，提升充电设施服务能力。</w:t>
      </w:r>
    </w:p>
    <w:p>
      <w:pPr>
        <w:ind w:firstLine="643"/>
      </w:pPr>
      <w:r>
        <w:rPr>
          <w:rFonts w:hint="eastAsia"/>
          <w:b/>
          <w:bCs/>
        </w:rPr>
        <w:t>充分考虑周边配电网现状。</w:t>
      </w:r>
      <w:r>
        <w:rPr>
          <w:rFonts w:hint="eastAsia"/>
        </w:rPr>
        <w:t>新能源充电站在运行时需要高功率的电力供应支撑，在进行充电站布局规划时应与城市电力供应部门协调，将充电站建设纳入城市电网规划中。</w:t>
      </w:r>
    </w:p>
    <w:p>
      <w:pPr>
        <w:pStyle w:val="3"/>
        <w:ind w:firstLine="640"/>
      </w:pPr>
      <w:r>
        <w:rPr>
          <w:rFonts w:hint="eastAsia"/>
        </w:rPr>
        <w:t>二、主城区建设布局</w:t>
      </w:r>
      <w:bookmarkEnd w:id="102"/>
    </w:p>
    <w:p>
      <w:pPr>
        <w:ind w:firstLine="640"/>
      </w:pPr>
      <w:r>
        <w:rPr>
          <w:rFonts w:hint="eastAsia"/>
        </w:rPr>
        <w:t>郑州市主城区已基本完成公共充电站和专用充电站布局，下一步应重点推进居民区充电设施建设，优化公共充电站布局，加快公路干线充电设施建设，因需补充公交、物流等公共服务领域充电设施建设。</w:t>
      </w:r>
    </w:p>
    <w:p>
      <w:pPr>
        <w:pStyle w:val="4"/>
        <w:ind w:firstLine="640"/>
      </w:pPr>
      <w:bookmarkStart w:id="103" w:name="_Toc27130"/>
      <w:bookmarkStart w:id="104" w:name="_Toc9699"/>
      <w:bookmarkStart w:id="105" w:name="_Toc14631"/>
      <w:bookmarkStart w:id="106" w:name="_Toc3023"/>
      <w:r>
        <w:rPr>
          <w:rFonts w:hint="eastAsia"/>
        </w:rPr>
        <w:t>（一）居民区充电设施建设</w:t>
      </w:r>
      <w:bookmarkEnd w:id="103"/>
      <w:bookmarkEnd w:id="104"/>
      <w:bookmarkEnd w:id="105"/>
      <w:bookmarkEnd w:id="106"/>
    </w:p>
    <w:p>
      <w:pPr>
        <w:ind w:firstLine="640"/>
      </w:pPr>
      <w:r>
        <w:rPr>
          <w:rFonts w:hint="eastAsia"/>
        </w:rPr>
        <w:t>结合老旧小区改造，推进居民区停车位的电气化改造，保障居民私人桩的安装权益，做到能装尽装。鼓励社区物业企业积极参与“统建统营、社区自治”管理。在居民区相对集中的地区选择公共停车场配建直流充电站，积极推广智能有序慢充为主、应急快充为辅的居民区充电服务模式。重点区域包括金水区大石桥街道、丰产路街道；郑东新区龙子湖街道、龙湖街道南部地区；管城回族区十八里河街道、商都路街道；经开区京航街道；中原区西流湖街道；高新区沟赵街道、石佛镇；二七区长江路街道；惠济区古荥镇、花园口镇、新城街道等。</w:t>
      </w:r>
    </w:p>
    <w:p>
      <w:pPr>
        <w:pStyle w:val="4"/>
        <w:ind w:firstLine="640"/>
      </w:pPr>
      <w:bookmarkStart w:id="107" w:name="_Toc23544"/>
      <w:bookmarkStart w:id="108" w:name="_Toc17943"/>
      <w:bookmarkStart w:id="109" w:name="_Toc6838"/>
      <w:bookmarkStart w:id="110" w:name="_Toc14532"/>
      <w:r>
        <w:rPr>
          <w:rFonts w:hint="eastAsia"/>
        </w:rPr>
        <w:t>（二）公路干线、景区充电设施建设</w:t>
      </w:r>
      <w:bookmarkEnd w:id="107"/>
      <w:bookmarkEnd w:id="108"/>
      <w:bookmarkEnd w:id="109"/>
      <w:bookmarkEnd w:id="110"/>
    </w:p>
    <w:p>
      <w:pPr>
        <w:ind w:firstLine="640"/>
      </w:pPr>
      <w:r>
        <w:rPr>
          <w:rFonts w:hint="eastAsia"/>
        </w:rPr>
        <w:t>推进公路沿线、景区等重点区域快速充电设施建设，在靠近产业园区、城区的大型停车场，可以配建示范性集中式公用充电站。重点干线包括连霍高速出口与城区交接地带、京港澳高速出口与城区交接地带、绕城高速沿线、机场高速沿线、西三环沿线等。重点景区包括郑州植物园、凤凰岛景区、黄河风景名胜区、郑州树木园、樱桃沟景区、郑州方特欢乐世界等。</w:t>
      </w:r>
    </w:p>
    <w:p>
      <w:pPr>
        <w:pStyle w:val="4"/>
        <w:ind w:firstLine="640"/>
      </w:pPr>
      <w:bookmarkStart w:id="111" w:name="_Toc6554"/>
      <w:bookmarkStart w:id="112" w:name="_Toc31544"/>
      <w:bookmarkStart w:id="113" w:name="_Toc14712"/>
      <w:bookmarkStart w:id="114" w:name="_Toc30630"/>
      <w:r>
        <w:rPr>
          <w:rFonts w:hint="eastAsia"/>
        </w:rPr>
        <w:t>（三）单位内部充电设施建设</w:t>
      </w:r>
      <w:bookmarkEnd w:id="111"/>
      <w:bookmarkEnd w:id="112"/>
      <w:bookmarkEnd w:id="113"/>
      <w:bookmarkEnd w:id="114"/>
    </w:p>
    <w:p>
      <w:pPr>
        <w:ind w:firstLine="640"/>
      </w:pPr>
      <w:r>
        <w:rPr>
          <w:rFonts w:hint="eastAsia"/>
        </w:rPr>
        <w:t>加快市区内企事业单位内部及周边停车场公共充电设施建设，优化公共充电站布局，鼓励有条件的单位内部停车场对外开放。重点区域包括河南大学附近、河南工业大学附近、郑州骨科医院附近、经开区南部企业、建设东路与金水路交口附近、郑州会展中心地上停车场。</w:t>
      </w:r>
    </w:p>
    <w:p>
      <w:pPr>
        <w:pStyle w:val="4"/>
        <w:ind w:firstLine="640"/>
      </w:pPr>
      <w:bookmarkStart w:id="115" w:name="_Toc1910"/>
      <w:bookmarkStart w:id="116" w:name="_Toc28613"/>
      <w:bookmarkStart w:id="117" w:name="_Toc9937"/>
      <w:bookmarkStart w:id="118" w:name="_Toc28183"/>
      <w:r>
        <w:rPr>
          <w:rFonts w:hint="eastAsia"/>
        </w:rPr>
        <w:t>（四）公共服务领域充电设施建设</w:t>
      </w:r>
      <w:bookmarkEnd w:id="115"/>
      <w:bookmarkEnd w:id="116"/>
      <w:bookmarkEnd w:id="117"/>
      <w:bookmarkEnd w:id="118"/>
    </w:p>
    <w:p>
      <w:pPr>
        <w:ind w:firstLine="640"/>
      </w:pPr>
      <w:r>
        <w:rPr>
          <w:rFonts w:hint="eastAsia"/>
        </w:rPr>
        <w:t xml:space="preserve">充分考虑公交、出租、物流等专用车新增充电需求，结合停车场站、电容条件等增建充电设施或新建专用充电站。鼓励充电运营企业通过新建、改建、扩容、迁移等方式，逐步提高大功率充电桩占比。 </w:t>
      </w:r>
    </w:p>
    <w:p>
      <w:pPr>
        <w:pStyle w:val="3"/>
        <w:ind w:firstLine="640"/>
      </w:pPr>
      <w:bookmarkStart w:id="119" w:name="_Toc18449"/>
      <w:r>
        <w:rPr>
          <w:rFonts w:hint="eastAsia"/>
        </w:rPr>
        <w:t>三、其他区县建设布局</w:t>
      </w:r>
      <w:bookmarkEnd w:id="119"/>
    </w:p>
    <w:p>
      <w:pPr>
        <w:ind w:firstLine="640"/>
      </w:pPr>
      <w:r>
        <w:rPr>
          <w:rFonts w:hint="eastAsia"/>
        </w:rPr>
        <w:t>郑州市周边区县（市）以及航空港区的公共充电站集中分布在城市建成区域，建设密度相对较低，未来3年公用充电设施仍有较大的建设空间。</w:t>
      </w:r>
    </w:p>
    <w:p>
      <w:pPr>
        <w:pStyle w:val="4"/>
        <w:ind w:firstLine="640"/>
      </w:pPr>
      <w:bookmarkStart w:id="120" w:name="_Toc30155"/>
      <w:bookmarkStart w:id="121" w:name="_Toc1826"/>
      <w:bookmarkStart w:id="122" w:name="_Toc17851"/>
      <w:bookmarkStart w:id="123" w:name="_Toc5584"/>
      <w:r>
        <w:rPr>
          <w:rFonts w:hint="eastAsia"/>
        </w:rPr>
        <w:t>（一）居民区充电设施和公用充电设施建设</w:t>
      </w:r>
      <w:bookmarkEnd w:id="120"/>
      <w:bookmarkEnd w:id="121"/>
      <w:bookmarkEnd w:id="122"/>
      <w:bookmarkEnd w:id="123"/>
    </w:p>
    <w:p>
      <w:pPr>
        <w:ind w:firstLine="640"/>
      </w:pPr>
      <w:r>
        <w:rPr>
          <w:rFonts w:hint="eastAsia"/>
        </w:rPr>
        <w:t>以缩小充电站服务半径为主要任务，继续加强居民区充电设施建设，积极推进城市商业区、公共停车场集中式充换电设施建设，提高充电设施服务便利性。重点区域包括各区县（市）城区居住社区、商业配套停车场、公共停车场、政府机关及企事业单位内部停车场。重点区域包括巩义市城区紫荆路、新兴路、嵩山路、陇海路周边社区及路侧公共停车场；荥阳市北部城区、荥运路、荥泽大道附近；新密市西部和南部城区、新密汽车站附近；新郑市主城区居民区、新郑新区工业园；登封市主城区商场配建停车场、主干道路侧停车场、中岳街道等；中牟县祥达路附近工业区、前程街道、广惠街街道及县城南部区域；上街区东部居民区。</w:t>
      </w:r>
    </w:p>
    <w:p>
      <w:pPr>
        <w:pStyle w:val="4"/>
        <w:ind w:firstLine="640"/>
      </w:pPr>
      <w:bookmarkStart w:id="124" w:name="_Toc10139"/>
      <w:bookmarkStart w:id="125" w:name="_Toc7914"/>
      <w:bookmarkStart w:id="126" w:name="_Toc1721"/>
      <w:bookmarkStart w:id="127" w:name="_Toc7604"/>
      <w:r>
        <w:rPr>
          <w:rFonts w:hint="eastAsia"/>
        </w:rPr>
        <w:t>（二）公共服务领域充电设施建设</w:t>
      </w:r>
      <w:bookmarkEnd w:id="124"/>
      <w:bookmarkEnd w:id="125"/>
      <w:bookmarkEnd w:id="126"/>
      <w:bookmarkEnd w:id="127"/>
    </w:p>
    <w:p>
      <w:pPr>
        <w:ind w:firstLine="640"/>
      </w:pPr>
      <w:r>
        <w:rPr>
          <w:rFonts w:hint="eastAsia"/>
        </w:rPr>
        <w:t>在城市公交、环卫、物流配送集中区域，增加专用大功率充电设施建设，推动城市公共领域用车全面电动化。到2025年，公共服务领域停车场配建充电设施的车位比例不低于25%。各区县（市）根据公共领域车辆电动化更换情况，就近选择场地建设专用充电设施。重点区域包括中牟县西部物流园、航空港区东南部和东北部物流集散区。</w:t>
      </w:r>
    </w:p>
    <w:p>
      <w:pPr>
        <w:pStyle w:val="4"/>
        <w:ind w:firstLine="640"/>
      </w:pPr>
      <w:bookmarkStart w:id="128" w:name="_Toc6848"/>
      <w:bookmarkStart w:id="129" w:name="_Toc4992"/>
      <w:bookmarkStart w:id="130" w:name="_Toc16272"/>
      <w:bookmarkStart w:id="131" w:name="_Toc18901"/>
      <w:r>
        <w:rPr>
          <w:rFonts w:hint="eastAsia"/>
        </w:rPr>
        <w:t>（三）公路干线及高速服务区充电设施建设</w:t>
      </w:r>
      <w:bookmarkEnd w:id="128"/>
      <w:bookmarkEnd w:id="129"/>
      <w:bookmarkEnd w:id="130"/>
      <w:bookmarkEnd w:id="131"/>
    </w:p>
    <w:p>
      <w:pPr>
        <w:ind w:firstLine="640"/>
      </w:pPr>
      <w:r>
        <w:rPr>
          <w:rFonts w:hint="eastAsia"/>
        </w:rPr>
        <w:t>在干线公路沿线要配建单桩功率不低于60千瓦的快速充电设施。高速公路新建服务区要按照不低于停车位总数40%的比例配建快速充电桩或预留充电设施接口。高速服务区已建充电设施企业要根据假期新能源汽车充电排队情况，增建大功率充电设施或者临时增加移动式充电设施。新建区域包括城市边缘过境省道沿线、G107空港服务区、郑民高速中牟南服务区、安罗高速中牟东服务区等。</w:t>
      </w:r>
    </w:p>
    <w:p>
      <w:pPr>
        <w:pStyle w:val="4"/>
        <w:ind w:firstLine="640"/>
      </w:pPr>
      <w:bookmarkStart w:id="132" w:name="_Toc18399"/>
      <w:bookmarkStart w:id="133" w:name="_Toc24238"/>
      <w:bookmarkStart w:id="134" w:name="_Toc23041"/>
      <w:bookmarkStart w:id="135" w:name="_Toc18320"/>
      <w:r>
        <w:rPr>
          <w:rFonts w:hint="eastAsia"/>
        </w:rPr>
        <w:t>（四）乡镇及景区充电设施建设</w:t>
      </w:r>
      <w:bookmarkEnd w:id="132"/>
      <w:bookmarkEnd w:id="133"/>
      <w:bookmarkEnd w:id="134"/>
      <w:bookmarkEnd w:id="135"/>
    </w:p>
    <w:p>
      <w:pPr>
        <w:ind w:firstLine="640"/>
        <w:rPr>
          <w:b/>
        </w:rPr>
      </w:pPr>
      <w:r>
        <w:rPr>
          <w:rFonts w:hint="eastAsia"/>
        </w:rPr>
        <w:t>加快推进周边村镇、景区充电设施建设，根据场地条件，合理配置快慢充设施比例。具备条件的城市周边村镇，鼓励村集体自建或者引入专业的充电设施运营企业投建公用充电设施。全市A级以上旅游景区要结合游客接待量和充电需求配建充电设施。重点景区包括康百万庄园、伏羲大峡谷景区、竹林长寿山景区、黄帝故里、万山森林公园、五云山山地生态公园等。重点乡镇包括巩义市芝田镇、西村镇；荥阳市王村镇、高村乡、广武镇、高山镇、刘河镇；新密市米村镇、岳村镇、城关镇；新郑市郑新快速通道沿线村镇、新村镇；登封市东华镇、告成镇；中牟县万滩镇、官渡镇、黄店镇。</w:t>
      </w:r>
    </w:p>
    <w:p>
      <w:pPr>
        <w:pStyle w:val="3"/>
        <w:ind w:firstLine="640"/>
      </w:pPr>
      <w:bookmarkStart w:id="136" w:name="_Toc1541"/>
      <w:r>
        <w:rPr>
          <w:rFonts w:hint="eastAsia"/>
        </w:rPr>
        <w:t>四、建设场景规划</w:t>
      </w:r>
      <w:bookmarkEnd w:id="136"/>
    </w:p>
    <w:p>
      <w:pPr>
        <w:ind w:firstLine="640"/>
      </w:pPr>
      <w:r>
        <w:rPr>
          <w:rFonts w:hint="eastAsia"/>
        </w:rPr>
        <w:t>根据</w:t>
      </w:r>
      <w:r>
        <w:t>城市规划情况，充电站建设具体落地场景主要有以下几</w:t>
      </w:r>
      <w:r>
        <w:rPr>
          <w:rFonts w:hint="eastAsia"/>
        </w:rPr>
        <w:t>种</w:t>
      </w:r>
      <w:r>
        <w:t>：</w:t>
      </w:r>
    </w:p>
    <w:p>
      <w:pPr>
        <w:pStyle w:val="4"/>
        <w:ind w:firstLine="640"/>
      </w:pPr>
      <w:bookmarkStart w:id="137" w:name="_Toc20647"/>
      <w:bookmarkStart w:id="138" w:name="_Toc3471"/>
      <w:bookmarkStart w:id="139" w:name="_Toc23806"/>
      <w:bookmarkStart w:id="140" w:name="_Toc10826"/>
      <w:r>
        <w:rPr>
          <w:rFonts w:hint="eastAsia"/>
        </w:rPr>
        <w:t>（一）</w:t>
      </w:r>
      <w:r>
        <w:t>公共充电站</w:t>
      </w:r>
      <w:bookmarkEnd w:id="137"/>
      <w:bookmarkEnd w:id="138"/>
      <w:bookmarkEnd w:id="139"/>
      <w:bookmarkEnd w:id="140"/>
      <w:r>
        <w:t xml:space="preserve"> </w:t>
      </w:r>
    </w:p>
    <w:p>
      <w:pPr>
        <w:ind w:firstLine="640"/>
      </w:pPr>
      <w:r>
        <w:t>公共充电站</w:t>
      </w:r>
      <w:r>
        <w:rPr>
          <w:rFonts w:hint="eastAsia"/>
        </w:rPr>
        <w:t>指</w:t>
      </w:r>
      <w:r>
        <w:t>满足运营车辆（包括网约车、出租车、物流车等）及社会车辆日常充电需求，</w:t>
      </w:r>
      <w:r>
        <w:rPr>
          <w:rFonts w:hint="eastAsia"/>
        </w:rPr>
        <w:t>在社会公共停车场建设的充电场站</w:t>
      </w:r>
      <w:r>
        <w:t>。</w:t>
      </w:r>
      <w:r>
        <w:rPr>
          <w:rFonts w:hint="eastAsia"/>
        </w:rPr>
        <w:t>公共充电站主要分布在城市核心商圈、交通枢纽、商务办公场所、产业园区周边等交通便利的车流热点区域。</w:t>
      </w:r>
    </w:p>
    <w:p>
      <w:pPr>
        <w:pStyle w:val="4"/>
        <w:ind w:firstLine="640"/>
      </w:pPr>
      <w:bookmarkStart w:id="141" w:name="_Toc7884"/>
      <w:bookmarkStart w:id="142" w:name="_Toc19150"/>
      <w:bookmarkStart w:id="143" w:name="_Toc6670"/>
      <w:bookmarkStart w:id="144" w:name="_Toc15098"/>
      <w:r>
        <w:rPr>
          <w:rFonts w:hint="eastAsia"/>
        </w:rPr>
        <w:t>（二）</w:t>
      </w:r>
      <w:r>
        <w:t>专用充电站</w:t>
      </w:r>
      <w:bookmarkEnd w:id="141"/>
      <w:bookmarkEnd w:id="142"/>
      <w:bookmarkEnd w:id="143"/>
      <w:bookmarkEnd w:id="144"/>
      <w:r>
        <w:t xml:space="preserve"> </w:t>
      </w:r>
    </w:p>
    <w:p>
      <w:pPr>
        <w:ind w:firstLine="640"/>
      </w:pPr>
      <w:r>
        <w:t>专用充电站</w:t>
      </w:r>
      <w:r>
        <w:rPr>
          <w:rFonts w:hint="eastAsia"/>
        </w:rPr>
        <w:t>指</w:t>
      </w:r>
      <w:r>
        <w:t>主要服务于公交车、环卫车、特种车、渣土及搅拌车等，一般以车辆运营单位自有场地为主进行建设，如各机关及行政机构属地、公交场站、环卫场站等。</w:t>
      </w:r>
    </w:p>
    <w:p>
      <w:pPr>
        <w:pStyle w:val="4"/>
        <w:ind w:firstLine="640"/>
      </w:pPr>
      <w:bookmarkStart w:id="145" w:name="_Toc31282"/>
      <w:bookmarkStart w:id="146" w:name="_Toc29255"/>
      <w:bookmarkStart w:id="147" w:name="_Toc27832"/>
      <w:bookmarkStart w:id="148" w:name="_Toc10786"/>
      <w:r>
        <w:rPr>
          <w:rFonts w:hint="eastAsia"/>
        </w:rPr>
        <w:t>（三）单位内部充电</w:t>
      </w:r>
      <w:r>
        <w:t>站</w:t>
      </w:r>
      <w:bookmarkEnd w:id="145"/>
      <w:bookmarkEnd w:id="146"/>
      <w:bookmarkEnd w:id="147"/>
      <w:bookmarkEnd w:id="148"/>
      <w:r>
        <w:t xml:space="preserve"> </w:t>
      </w:r>
    </w:p>
    <w:p>
      <w:pPr>
        <w:ind w:firstLine="640"/>
      </w:pPr>
      <w:r>
        <w:rPr>
          <w:rFonts w:hint="eastAsia"/>
        </w:rPr>
        <w:t>单位内部</w:t>
      </w:r>
      <w:r>
        <w:t>充电</w:t>
      </w:r>
      <w:r>
        <w:rPr>
          <w:rFonts w:hint="eastAsia"/>
        </w:rPr>
        <w:t>站是指用于服务公务车、企事业内部员工车辆，</w:t>
      </w:r>
      <w:r>
        <w:t>以</w:t>
      </w:r>
      <w:r>
        <w:rPr>
          <w:rFonts w:hint="eastAsia"/>
        </w:rPr>
        <w:t>车辆停驶时间较长的</w:t>
      </w:r>
      <w:r>
        <w:t>公共场景为主，</w:t>
      </w:r>
      <w:r>
        <w:rPr>
          <w:rFonts w:hint="eastAsia"/>
        </w:rPr>
        <w:t>在政府机构、事业单位、办公楼等场所建设的充电站。</w:t>
      </w:r>
    </w:p>
    <w:p>
      <w:pPr>
        <w:pStyle w:val="4"/>
        <w:ind w:firstLine="640"/>
      </w:pPr>
      <w:bookmarkStart w:id="149" w:name="_Toc15200"/>
      <w:bookmarkStart w:id="150" w:name="_Toc10748"/>
      <w:bookmarkStart w:id="151" w:name="_Toc14926"/>
      <w:bookmarkStart w:id="152" w:name="_Toc19515"/>
      <w:r>
        <w:rPr>
          <w:rFonts w:hint="eastAsia"/>
        </w:rPr>
        <w:t>（四）</w:t>
      </w:r>
      <w:r>
        <w:t>换电站</w:t>
      </w:r>
      <w:bookmarkEnd w:id="149"/>
      <w:bookmarkEnd w:id="150"/>
      <w:bookmarkEnd w:id="151"/>
      <w:bookmarkEnd w:id="152"/>
      <w:r>
        <w:t xml:space="preserve"> </w:t>
      </w:r>
    </w:p>
    <w:p>
      <w:pPr>
        <w:ind w:firstLine="640"/>
      </w:pPr>
      <w:r>
        <w:t>换电站主要服务部分私家车、运营车辆及</w:t>
      </w:r>
      <w:r>
        <w:rPr>
          <w:rFonts w:hint="eastAsia"/>
        </w:rPr>
        <w:t>重型货车</w:t>
      </w:r>
      <w:r>
        <w:t>，</w:t>
      </w:r>
      <w:r>
        <w:rPr>
          <w:rFonts w:hint="eastAsia"/>
        </w:rPr>
        <w:t>私家车和运营车辆换电站以公共停车场为主要建设场地，</w:t>
      </w:r>
      <w:r>
        <w:t>也可选择条件允许</w:t>
      </w:r>
      <w:r>
        <w:rPr>
          <w:rFonts w:hint="eastAsia"/>
        </w:rPr>
        <w:t>的</w:t>
      </w:r>
      <w:r>
        <w:t>公共充电站进行</w:t>
      </w:r>
      <w:r>
        <w:rPr>
          <w:rFonts w:hint="eastAsia"/>
        </w:rPr>
        <w:t>合作</w:t>
      </w:r>
      <w:r>
        <w:t>，做到</w:t>
      </w:r>
      <w:r>
        <w:rPr>
          <w:rFonts w:hint="eastAsia"/>
        </w:rPr>
        <w:t>充换一体化综合利用</w:t>
      </w:r>
      <w:r>
        <w:t>。</w:t>
      </w:r>
      <w:r>
        <w:rPr>
          <w:rFonts w:hint="eastAsia"/>
        </w:rPr>
        <w:t>重型货车换电站以货车停车场</w:t>
      </w:r>
      <w:r>
        <w:t>为主进行建设，</w:t>
      </w:r>
      <w:r>
        <w:rPr>
          <w:rFonts w:hint="eastAsia"/>
        </w:rPr>
        <w:t>遵循就近原则。</w:t>
      </w:r>
    </w:p>
    <w:p>
      <w:pPr>
        <w:pStyle w:val="4"/>
        <w:ind w:firstLine="640"/>
      </w:pPr>
      <w:bookmarkStart w:id="153" w:name="_Toc31565"/>
      <w:bookmarkStart w:id="154" w:name="_Toc5487"/>
      <w:bookmarkStart w:id="155" w:name="_Toc18947"/>
      <w:bookmarkStart w:id="156" w:name="_Toc15998"/>
      <w:r>
        <w:rPr>
          <w:rFonts w:hint="eastAsia"/>
        </w:rPr>
        <w:t>（五）示范性集中式充电站</w:t>
      </w:r>
      <w:bookmarkEnd w:id="153"/>
      <w:bookmarkEnd w:id="154"/>
      <w:bookmarkEnd w:id="155"/>
      <w:bookmarkEnd w:id="156"/>
    </w:p>
    <w:p>
      <w:pPr>
        <w:ind w:firstLine="640"/>
      </w:pPr>
      <w:r>
        <w:rPr>
          <w:rFonts w:hint="eastAsia"/>
        </w:rPr>
        <w:t>示范性集中式充电站（以下简称“示范站”）是以独立的停车场为充电站建设场地，配建大功率充电设施，并适度应用超充技术、V2G技术，为</w:t>
      </w:r>
      <w:r>
        <w:t>运营车辆及社会车辆</w:t>
      </w:r>
      <w:r>
        <w:rPr>
          <w:rFonts w:hint="eastAsia"/>
        </w:rPr>
        <w:t>提供充电服务的示范性充电站。示范站内划分供配电区、充电区、商超区、休息区、消防区，规范设计行车道和停车位，并配套建设独立的停车管理系统和视频监控系统。示范站需要的场地面积较大，一般在城市建成区边缘地带或者大型地上停车场内规划建设。</w:t>
      </w:r>
    </w:p>
    <w:p>
      <w:pPr>
        <w:pStyle w:val="4"/>
        <w:ind w:firstLine="640"/>
      </w:pPr>
      <w:bookmarkStart w:id="157" w:name="_Toc12651"/>
      <w:bookmarkStart w:id="158" w:name="_Toc5706"/>
      <w:bookmarkStart w:id="159" w:name="_Toc30680"/>
      <w:bookmarkStart w:id="160" w:name="_Toc31619"/>
      <w:r>
        <w:rPr>
          <w:rFonts w:hint="eastAsia"/>
        </w:rPr>
        <w:t>（六）超级充电站</w:t>
      </w:r>
      <w:bookmarkEnd w:id="157"/>
      <w:bookmarkEnd w:id="158"/>
      <w:bookmarkEnd w:id="159"/>
      <w:bookmarkEnd w:id="160"/>
    </w:p>
    <w:p>
      <w:pPr>
        <w:ind w:firstLine="640"/>
      </w:pPr>
      <w:r>
        <w:rPr>
          <w:rFonts w:hint="eastAsia"/>
        </w:rPr>
        <w:t>超级充电站是指配置超级快充设施的充电站，超级快充设施需满足单枪充电功率不小于350kW，最大输出电压不小于800Ｖ，持续充电电流不小于400A的要求。超级充电站适宜在高速服务区、干线公路沿线、商业中心等场所建设。</w:t>
      </w:r>
    </w:p>
    <w:p>
      <w:pPr>
        <w:pStyle w:val="4"/>
        <w:ind w:firstLine="640"/>
      </w:pPr>
      <w:bookmarkStart w:id="161" w:name="_Toc25279"/>
      <w:bookmarkStart w:id="162" w:name="_Toc31438"/>
      <w:bookmarkStart w:id="163" w:name="_Toc8256"/>
      <w:bookmarkStart w:id="164" w:name="_Toc15674"/>
      <w:r>
        <w:rPr>
          <w:rFonts w:hint="eastAsia"/>
        </w:rPr>
        <w:t>（七）光储充换综合站</w:t>
      </w:r>
      <w:bookmarkEnd w:id="161"/>
      <w:bookmarkEnd w:id="162"/>
      <w:bookmarkEnd w:id="163"/>
      <w:bookmarkEnd w:id="164"/>
    </w:p>
    <w:p>
      <w:pPr>
        <w:ind w:firstLine="640"/>
      </w:pPr>
      <w:r>
        <w:t>在</w:t>
      </w:r>
      <w:r>
        <w:rPr>
          <w:rFonts w:hint="eastAsia"/>
        </w:rPr>
        <w:t>公共充电站、专用充电站以及换电站</w:t>
      </w:r>
      <w:r>
        <w:t>适当配置</w:t>
      </w:r>
      <w:r>
        <w:rPr>
          <w:rFonts w:hint="eastAsia"/>
        </w:rPr>
        <w:t>光伏系统、</w:t>
      </w:r>
      <w:r>
        <w:t>储能系统，进一步提升整个项目对电网“削峰填谷”的调节能力，同时储存更多的谷时电量或光伏余电，以供车辆充电及项目地部分供电需求，真正使得项目达到“零碳”目标，提升项目经济效益。</w:t>
      </w:r>
      <w:r>
        <w:rPr>
          <w:rFonts w:hint="eastAsia"/>
        </w:rPr>
        <w:t>光储充换综合站一般选择产业园区、综合能源港、大型地上停车场、高速服务区等场所建设。</w:t>
      </w:r>
    </w:p>
    <w:p>
      <w:pPr>
        <w:pStyle w:val="4"/>
        <w:ind w:firstLine="640"/>
      </w:pPr>
      <w:r>
        <w:rPr>
          <w:rFonts w:hint="eastAsia"/>
        </w:rPr>
        <w:t>（八）综合能源港</w:t>
      </w:r>
    </w:p>
    <w:p>
      <w:pPr>
        <w:ind w:firstLine="640"/>
      </w:pPr>
      <w:r>
        <w:rPr>
          <w:rFonts w:hint="eastAsia"/>
        </w:rPr>
        <w:t>综合能源港是集合加油、充电、加氢、光伏、储能、餐饮、购物、汽车后服务等功能于一体的“新物种”，在降本增效的同时，辅助电力市场调节，实现能量精细化管理。综合能源港一般在加油站基础上进行改造，可以根据场地条件选择充电设施、换电设施、加氢设备等要素进行组合搭配，充分发挥区位优势，为广大车主提供一站式综合服务。</w:t>
      </w:r>
    </w:p>
    <w:p>
      <w:pPr>
        <w:pStyle w:val="2"/>
        <w:spacing w:after="0" w:afterLines="0"/>
      </w:pPr>
      <w:bookmarkStart w:id="165" w:name="_Toc21249"/>
      <w:r>
        <w:rPr>
          <w:rFonts w:hint="eastAsia"/>
        </w:rPr>
        <w:t>第六章 重点任务</w:t>
      </w:r>
      <w:bookmarkEnd w:id="165"/>
    </w:p>
    <w:p>
      <w:pPr>
        <w:pStyle w:val="3"/>
        <w:ind w:firstLine="640"/>
      </w:pPr>
      <w:bookmarkStart w:id="166" w:name="_Toc31425"/>
      <w:r>
        <w:rPr>
          <w:rFonts w:hint="eastAsia"/>
        </w:rPr>
        <w:t>一、构建完善的充电网络</w:t>
      </w:r>
      <w:bookmarkEnd w:id="166"/>
    </w:p>
    <w:p>
      <w:pPr>
        <w:pStyle w:val="4"/>
        <w:ind w:firstLine="640"/>
      </w:pPr>
      <w:bookmarkStart w:id="167" w:name="_Toc28068"/>
      <w:r>
        <w:rPr>
          <w:rFonts w:hint="eastAsia"/>
        </w:rPr>
        <w:t>（一）加快推进居民区充电设施建设</w:t>
      </w:r>
      <w:bookmarkEnd w:id="167"/>
    </w:p>
    <w:p>
      <w:pPr>
        <w:ind w:firstLine="640"/>
      </w:pPr>
      <w:r>
        <w:rPr>
          <w:rFonts w:hint="eastAsia"/>
        </w:rPr>
        <w:t>新建住宅小区配建停车位应100%建设充电设施或预留安装条件，其中不少于10%的车位应与住宅项目同步建成充电设施，达到同步使用要求。既有住宅小区根据实际需求和场地、电源、供电容量、消防等建设条件，按照“能装尽装”原则，有序推进充电设施建设。没有固定停车位的既有住宅小区，鼓励通过公共场地的改造，建设一定数量的公用充电设施。鼓励充电设施运营企业或居住社区管理单位接受业主委托，开展居民区充电设施“统建统营”，统一提供充电设施建设、运营与维护等服务，提高充电设施安全管理水平。鼓励社区业主、物业管理企业参与充电设施日常运营管理，通过“社区自治”，合理协调燃油车和电动车停车需求，解决停车、占位与充电矛盾。鼓励智能有序充电技术推广，</w:t>
      </w:r>
      <w:r>
        <w:t>加快开展智能有序充电示范小区建设，逐步提高智能有序充电桩建设比例。</w:t>
      </w:r>
    </w:p>
    <w:p>
      <w:pPr>
        <w:pStyle w:val="4"/>
        <w:ind w:firstLine="640"/>
      </w:pPr>
      <w:bookmarkStart w:id="168" w:name="_Toc6150"/>
      <w:r>
        <w:rPr>
          <w:rFonts w:hint="eastAsia"/>
        </w:rPr>
        <w:t>（二）加快推进单位内部充电设施建设</w:t>
      </w:r>
      <w:bookmarkEnd w:id="168"/>
    </w:p>
    <w:p>
      <w:pPr>
        <w:ind w:firstLine="640"/>
      </w:pPr>
      <w:r>
        <w:rPr>
          <w:rFonts w:hint="eastAsia"/>
        </w:rPr>
        <w:t>具备条件的公共机构和企业要结合单位电动汽车配备更新计划及职工购买使用电动汽车需求，合理规划建设充电设施。到2025年，市、县级公共机构及市属国资企业配建充电设施的车位比例不低于10%。鼓励其他社会企业参照以上标准开展内部充电设施建设。各单位在既有停车位安装充电设施的，无需办理建设用地规划许可证、建设工程规划许可证和施工许可证。建设企业需按“经济实用、快慢互济”原则做好快慢充比例配置。</w:t>
      </w:r>
    </w:p>
    <w:p>
      <w:pPr>
        <w:pStyle w:val="4"/>
        <w:ind w:firstLine="640"/>
      </w:pPr>
      <w:bookmarkStart w:id="169" w:name="_Toc2927"/>
      <w:r>
        <w:rPr>
          <w:rFonts w:hint="eastAsia"/>
        </w:rPr>
        <w:t>（三）加快公路沿线快速充电设施布局</w:t>
      </w:r>
      <w:bookmarkEnd w:id="169"/>
    </w:p>
    <w:p>
      <w:pPr>
        <w:ind w:firstLine="640"/>
      </w:pPr>
      <w:r>
        <w:rPr>
          <w:rFonts w:hint="eastAsia"/>
        </w:rPr>
        <w:t>干线公路沿线要配建单桩功率不低于60千瓦的快速充电桩。高速公路新建服务区要按照不低于停车位总数40%的比例配建快速充电桩或预留充电设施接口，相关标准纳入高速公路设计、验收规范；现有服务区具备条件的要按照不低于停车位总数40%的比例配建快速充电桩或预留充电设施接口。国道、省道和城际快速公路沿线加油（气）站在满足安全条件的前提下，到2025年全部配建快速充电桩。</w:t>
      </w:r>
    </w:p>
    <w:p>
      <w:pPr>
        <w:pStyle w:val="4"/>
        <w:ind w:firstLine="640"/>
      </w:pPr>
      <w:bookmarkStart w:id="170" w:name="_Toc9849"/>
      <w:r>
        <w:rPr>
          <w:rFonts w:hint="eastAsia"/>
        </w:rPr>
        <w:t>（四）优化城市公共充电网络建设布局</w:t>
      </w:r>
      <w:bookmarkEnd w:id="170"/>
    </w:p>
    <w:p>
      <w:pPr>
        <w:ind w:firstLine="640"/>
      </w:pPr>
      <w:r>
        <w:t>进一步优化</w:t>
      </w:r>
      <w:r>
        <w:rPr>
          <w:rFonts w:hint="eastAsia"/>
        </w:rPr>
        <w:t>主</w:t>
      </w:r>
      <w:r>
        <w:t>城区公共充电网络布局，加大</w:t>
      </w:r>
      <w:r>
        <w:rPr>
          <w:rFonts w:hint="eastAsia"/>
        </w:rPr>
        <w:t>周边区县市</w:t>
      </w:r>
      <w:r>
        <w:t>公共充电设施建设力度，因地制宜布局换电站，提升公共充电服务保障能力。鼓励充电运营企业通过新建、改建、扩容、迁移</w:t>
      </w:r>
      <w:r>
        <w:rPr>
          <w:rFonts w:hint="eastAsia"/>
        </w:rPr>
        <w:t>、老旧设施升级改造</w:t>
      </w:r>
      <w:r>
        <w:t>等方式，逐步提高快充桩占比。大型公共建筑物配建停车场、社会公共停车场</w:t>
      </w:r>
      <w:r>
        <w:rPr>
          <w:rFonts w:hint="eastAsia"/>
        </w:rPr>
        <w:t>建设</w:t>
      </w:r>
      <w:r>
        <w:t>充电设施或预留建设安装条件的车位比例不低于10%。其中，新建大于2万㎡的商场、宾馆、医院、办公楼等大型公共建筑物配建停车场、社会公共停车场建设充电设施或预留建设安装条件的车位比例不低于15%。</w:t>
      </w:r>
    </w:p>
    <w:p>
      <w:pPr>
        <w:pStyle w:val="4"/>
        <w:ind w:firstLine="640"/>
      </w:pPr>
      <w:bookmarkStart w:id="171" w:name="_Toc20155"/>
      <w:r>
        <w:rPr>
          <w:rFonts w:hint="eastAsia"/>
        </w:rPr>
        <w:t>（五）有序推进产业园区充电设施建设</w:t>
      </w:r>
      <w:bookmarkEnd w:id="171"/>
    </w:p>
    <w:p>
      <w:pPr>
        <w:ind w:firstLine="640"/>
      </w:pPr>
      <w:r>
        <w:rPr>
          <w:rFonts w:hint="eastAsia"/>
        </w:rPr>
        <w:t>具备条件的产业园区要结合园区内企业公务用车、通勤班车、货运车辆、员工私人乘用车等类型电动汽车的充电需求，合理规划充电车位，引导资质良好的充电设施运营企业按比例配建充电设施。大型物流园区要充分挖掘园区内停车资源，优先配建大功率快充设施。到2025年，省级产业园区配建充电设施或预留充电设施接口的车位比例不低于30%。</w:t>
      </w:r>
    </w:p>
    <w:p>
      <w:pPr>
        <w:pStyle w:val="4"/>
        <w:ind w:firstLine="640"/>
      </w:pPr>
      <w:bookmarkStart w:id="172" w:name="_Toc7743"/>
      <w:r>
        <w:rPr>
          <w:rFonts w:hint="eastAsia"/>
        </w:rPr>
        <w:t>（六）积极完善旅游景区充电设施建设</w:t>
      </w:r>
      <w:bookmarkEnd w:id="172"/>
    </w:p>
    <w:p>
      <w:pPr>
        <w:ind w:firstLine="640"/>
      </w:pPr>
      <w:r>
        <w:rPr>
          <w:rFonts w:hint="eastAsia"/>
        </w:rPr>
        <w:t>全力支持郑州市全域旅游示范区创建工作，强化基础保障，积极完善景区公用充电设施建设，全市A级以上旅游景区要结合游客接待量和充电需求配建充电设施。到2025年，4A级以上旅游景区要设立电动汽车公用充电区域，配建充电设施或预留充电设施接口的车位比例不低于15%。</w:t>
      </w:r>
    </w:p>
    <w:p>
      <w:pPr>
        <w:pStyle w:val="4"/>
        <w:ind w:firstLine="640"/>
      </w:pPr>
      <w:bookmarkStart w:id="173" w:name="_Toc31113"/>
      <w:r>
        <w:rPr>
          <w:rFonts w:hint="eastAsia"/>
        </w:rPr>
        <w:t>（七）持续推进公共服务领域充换电设施建设</w:t>
      </w:r>
      <w:bookmarkEnd w:id="173"/>
    </w:p>
    <w:p>
      <w:pPr>
        <w:ind w:firstLine="640"/>
      </w:pPr>
      <w:r>
        <w:rPr>
          <w:rFonts w:hint="eastAsia"/>
        </w:rPr>
        <w:t>在公交、环卫、物流、通勤等公共服务领域,要因地制宜在运营线路沿线配建充换电设施，到2025年，公共服务领域停车场配建充电设施的车位比例不低于25%。</w:t>
      </w:r>
    </w:p>
    <w:p>
      <w:pPr>
        <w:pStyle w:val="4"/>
        <w:ind w:firstLine="640"/>
      </w:pPr>
      <w:bookmarkStart w:id="174" w:name="_Toc25114"/>
      <w:r>
        <w:rPr>
          <w:rFonts w:hint="eastAsia"/>
        </w:rPr>
        <w:t>（八）加快推进乡村地区充电设施建设</w:t>
      </w:r>
      <w:bookmarkEnd w:id="174"/>
    </w:p>
    <w:p>
      <w:pPr>
        <w:ind w:firstLine="640"/>
      </w:pPr>
      <w:r>
        <w:t>按照全面推进乡村振兴</w:t>
      </w:r>
      <w:r>
        <w:rPr>
          <w:rFonts w:hint="eastAsia"/>
        </w:rPr>
        <w:t>和支持新能源汽车下乡的</w:t>
      </w:r>
      <w:r>
        <w:t>有关要求，</w:t>
      </w:r>
      <w:r>
        <w:rPr>
          <w:rFonts w:hint="eastAsia"/>
        </w:rPr>
        <w:t>适度超前建设充电基础设施，创新充电基础设施建设、运营、维护模式，确保“有人建、有人管、能持续”。</w:t>
      </w:r>
      <w:r>
        <w:t>结合推进以县城为重要载体的城镇化建设，加快实现新能源汽车充电站“县县全覆盖”、充电桩“乡乡全覆盖”。</w:t>
      </w:r>
      <w:r>
        <w:rPr>
          <w:rFonts w:hint="eastAsia"/>
        </w:rPr>
        <w:t>合理推进集中式公共充电场站建设，优先在县乡企事业单位、商业建筑、交通枢纽（场站）、公路沿线服务区（站）等场所配置公共充电设施，并向易地搬迁集中安置区、乡村旅游重点村等延伸，结合乡村自驾游发展加快公路沿线、具备条件的加油站等场所充电桩建设。</w:t>
      </w:r>
    </w:p>
    <w:p>
      <w:pPr>
        <w:pStyle w:val="3"/>
        <w:ind w:firstLine="640"/>
      </w:pPr>
      <w:bookmarkStart w:id="175" w:name="_Toc28998"/>
      <w:r>
        <w:rPr>
          <w:rFonts w:hint="eastAsia"/>
        </w:rPr>
        <w:t>二、强化充电设施行业监督管理</w:t>
      </w:r>
      <w:bookmarkEnd w:id="175"/>
    </w:p>
    <w:p>
      <w:pPr>
        <w:pStyle w:val="4"/>
        <w:ind w:firstLine="640"/>
      </w:pPr>
      <w:bookmarkStart w:id="176" w:name="_Toc149"/>
      <w:r>
        <w:rPr>
          <w:rFonts w:hint="eastAsia"/>
        </w:rPr>
        <w:t>（一）提升充电设施智能化管理水平</w:t>
      </w:r>
      <w:bookmarkEnd w:id="176"/>
    </w:p>
    <w:p>
      <w:pPr>
        <w:ind w:firstLine="640"/>
      </w:pPr>
      <w:r>
        <w:rPr>
          <w:rFonts w:hint="eastAsia"/>
        </w:rPr>
        <w:t>加</w:t>
      </w:r>
      <w:r>
        <w:t>快</w:t>
      </w:r>
      <w:r>
        <w:rPr>
          <w:rFonts w:hint="eastAsia"/>
        </w:rPr>
        <w:t>市级</w:t>
      </w:r>
      <w:r>
        <w:t>新能源智能监测车桩服务平台</w:t>
      </w:r>
      <w:r>
        <w:rPr>
          <w:rFonts w:hint="eastAsia"/>
        </w:rPr>
        <w:t>建设运营</w:t>
      </w:r>
      <w:r>
        <w:t>，</w:t>
      </w:r>
      <w:r>
        <w:rPr>
          <w:rFonts w:hint="eastAsia"/>
        </w:rPr>
        <w:t>推进市级平台与省级平台、国家平台互联互通工作，尽快</w:t>
      </w:r>
      <w:r>
        <w:t>整合车桩资源，</w:t>
      </w:r>
      <w:r>
        <w:rPr>
          <w:rFonts w:hint="eastAsia"/>
        </w:rPr>
        <w:t>通过大数据分析技术，全面掌握本市新能源汽车和充电设施数据，通过充电需求和供给矛盾对比，优化本市充电场站建设布局。推进市级平台与运营企业的互联互通工作，建立和完善充电设施数据传输标准和数据采集机制，促进企业间数据共享，提升市民充电便利性。通过静态数据和实时状态数据采集，加强安全监管能力。深度研究充电设施服务能力和潜存问题，为行业主管部门提供专业数据支撑。推动新能源汽车、充电设施平台、智能电网、停车管理系统数据融合发展，构建“车-桩-网-位”高度协同的智能化充电服务体系。</w:t>
      </w:r>
    </w:p>
    <w:p>
      <w:pPr>
        <w:pStyle w:val="4"/>
        <w:ind w:firstLine="640"/>
      </w:pPr>
      <w:bookmarkStart w:id="177" w:name="_Toc5600"/>
      <w:r>
        <w:rPr>
          <w:rFonts w:hint="eastAsia"/>
        </w:rPr>
        <w:t>（二）加强公共充换电设施安全管理</w:t>
      </w:r>
      <w:bookmarkEnd w:id="177"/>
    </w:p>
    <w:p>
      <w:pPr>
        <w:ind w:firstLine="640"/>
      </w:pPr>
      <w:r>
        <w:rPr>
          <w:rFonts w:hint="eastAsia"/>
        </w:rPr>
        <w:t>强化汽车、电池和充电设施生产企业产品质量安全责任，严格建设、设计、施工、监理单位建设安装质量安全把关。在加油站、加气站建设安装充换电设施应布置在辅助服务区内。充电设施业主、居民委员会、售后维保单位等应加强充电设施安全管理，及时发现、消除安全隐患。各地行业主管部门，要建立完善各级安全管理机制，加强充电设施运营安全监管，开展充电桩在线监测，对集中式充换电设施进行安全巡检。建立火灾事故调查处理、溯源机制，形成事前事中事后全链条闭环管理体系。</w:t>
      </w:r>
    </w:p>
    <w:p>
      <w:pPr>
        <w:pStyle w:val="4"/>
        <w:ind w:firstLine="640"/>
      </w:pPr>
      <w:bookmarkStart w:id="178" w:name="_Toc24392"/>
      <w:r>
        <w:rPr>
          <w:rFonts w:hint="eastAsia"/>
        </w:rPr>
        <w:t>（三）补齐乡村地区充电设施运维短板</w:t>
      </w:r>
      <w:bookmarkEnd w:id="178"/>
    </w:p>
    <w:p>
      <w:pPr>
        <w:ind w:firstLine="640"/>
      </w:pPr>
      <w:r>
        <w:t>结合农村地区充电设施环境、电网基础条件、运行维护要求等，开展充电设施建设标准制修订和典型设计。完善充电设施运维体系，提升设施可用率和故障处理能力，推动公共充换电网络运营商平台互联互通。鼓励停车场与充电设施运营企业创新技术与管理措施，引导燃油汽车与新能源汽车分区停放，维护良好充电秩序。利用技术手段对充电需求集中的时段和地段进行提前研判，并做好服务保障。</w:t>
      </w:r>
    </w:p>
    <w:p>
      <w:pPr>
        <w:pStyle w:val="4"/>
        <w:ind w:firstLine="640"/>
      </w:pPr>
      <w:bookmarkStart w:id="179" w:name="_Toc11880"/>
      <w:r>
        <w:rPr>
          <w:rFonts w:hint="eastAsia"/>
        </w:rPr>
        <w:t>（四）推进行业提质增效</w:t>
      </w:r>
      <w:bookmarkEnd w:id="179"/>
    </w:p>
    <w:p>
      <w:pPr>
        <w:ind w:firstLine="640"/>
      </w:pPr>
      <w:r>
        <w:rPr>
          <w:rFonts w:hint="eastAsia"/>
        </w:rPr>
        <w:t>制定充电站等级评估机制，推动充电设施运营企业良性竞争，提升充电站服务质量。充电设施运营企业要完善充电设备运维体系，通过智能化和数字化手段，提升设备可用率和故障处理能力。针对设备老旧、故障率高的存量充电场站，运营企业应及时进行设备升级改造，保障设备应有的充电服务能力。对于利用率低、场站区位较好、无人管理的存量充电桩，鼓励资质良好、运营经验丰富的运营企业收购改造，盘活僵尸资产、低效率资产。</w:t>
      </w:r>
    </w:p>
    <w:p>
      <w:pPr>
        <w:pStyle w:val="3"/>
        <w:ind w:firstLine="640"/>
      </w:pPr>
      <w:bookmarkStart w:id="180" w:name="_Toc10608"/>
      <w:r>
        <w:rPr>
          <w:rFonts w:hint="eastAsia"/>
        </w:rPr>
        <w:t>三、推动新技术推广</w:t>
      </w:r>
      <w:bookmarkEnd w:id="180"/>
      <w:r>
        <w:rPr>
          <w:rFonts w:hint="eastAsia"/>
        </w:rPr>
        <w:t>和产业链协同发展</w:t>
      </w:r>
    </w:p>
    <w:p>
      <w:pPr>
        <w:pStyle w:val="4"/>
        <w:ind w:firstLine="640"/>
      </w:pPr>
      <w:bookmarkStart w:id="181" w:name="_Toc25660"/>
      <w:r>
        <w:rPr>
          <w:rFonts w:hint="eastAsia"/>
        </w:rPr>
        <w:t>（一）加快超充技术应用推广</w:t>
      </w:r>
      <w:bookmarkEnd w:id="181"/>
    </w:p>
    <w:p>
      <w:pPr>
        <w:ind w:firstLine="640"/>
      </w:pPr>
      <w:r>
        <w:rPr>
          <w:rFonts w:hint="eastAsia"/>
        </w:rPr>
        <w:t>大力支持超充技术应用推广，鼓励充电设施运营企业优先在商业服务区、高速服务区、交通枢纽和主干道沿线停车场建设超级充电设施，到2025年，全市建成超级充电站300座、充电设施3600个，初步形成规模适度的城市超充服务体系。支持在超级充电站内增建光伏储能设备，建设智能调度体系，实现源网荷储互动、多能协同互补，以及用能需求智能调控，着力提升能源系统效率。</w:t>
      </w:r>
    </w:p>
    <w:p>
      <w:pPr>
        <w:pStyle w:val="4"/>
        <w:ind w:firstLine="640"/>
      </w:pPr>
      <w:bookmarkStart w:id="182" w:name="_Toc1669"/>
      <w:r>
        <w:rPr>
          <w:rFonts w:hint="eastAsia"/>
        </w:rPr>
        <w:t>（二）探索乡村地区充电新模式</w:t>
      </w:r>
      <w:bookmarkEnd w:id="182"/>
    </w:p>
    <w:p>
      <w:pPr>
        <w:ind w:firstLine="640"/>
      </w:pPr>
      <w:r>
        <w:rPr>
          <w:rFonts w:hint="eastAsia"/>
        </w:rPr>
        <w:t>结合新能源汽车下乡和乡村振兴的政策要求，着力提升新建充电基础设施智能化水平，将智能有序充电纳入充电基础设施和新能源汽车产品功能范围，鼓励新售新能源汽车随车配建充电桩具备有序充电功能，加快形成行业统一标准。鼓励开展电动汽车与电网双向互动（V2G）、光储充协同控制等关键技术研究，探索在充电桩利用率较低的农村地区，建设提供光伏发电、储能、充电一体化的充电基础设施。</w:t>
      </w:r>
    </w:p>
    <w:p>
      <w:pPr>
        <w:pStyle w:val="4"/>
        <w:ind w:firstLine="640"/>
      </w:pPr>
      <w:bookmarkStart w:id="183" w:name="_Toc32720"/>
      <w:r>
        <w:rPr>
          <w:rFonts w:hint="eastAsia"/>
        </w:rPr>
        <w:t>（三）推进示范性集中式公用充电站建设</w:t>
      </w:r>
      <w:bookmarkEnd w:id="183"/>
    </w:p>
    <w:p>
      <w:pPr>
        <w:ind w:firstLine="640"/>
      </w:pPr>
      <w:r>
        <w:rPr>
          <w:rFonts w:hint="eastAsia"/>
        </w:rPr>
        <w:t>支持商业模式创新，推进示范性集中式公用充电站建设，站内具备供电、充电、消防、商业、休息等功能分区，探索综合性充电场景，到2025年，各县（市、区）至少建成1座示范性集中式公用充电站。在充电站建设标准、验收规范、运维管理规范、安全管理标准、运营服务模式上敢于创新，打造高标准、重服务、多样化的充电模式。</w:t>
      </w:r>
    </w:p>
    <w:p>
      <w:pPr>
        <w:pStyle w:val="4"/>
        <w:ind w:firstLine="640"/>
      </w:pPr>
      <w:r>
        <w:rPr>
          <w:rFonts w:hint="eastAsia"/>
        </w:rPr>
        <w:t>（四）大力推进产业链协同发展</w:t>
      </w:r>
    </w:p>
    <w:p>
      <w:pPr>
        <w:ind w:firstLine="640"/>
      </w:pPr>
      <w:r>
        <w:rPr>
          <w:rFonts w:hint="eastAsia"/>
        </w:rPr>
        <w:t>打造百亿级的充电设备产业集群。抢抓充电设备龙头企业产业布局机遇，以郑州都市圈为主要承接地，引进培育智能充电设备、光伏储能等重大项目，推进液冷超充技术、光储充协同控制技术研发和产业化。支持优势企业发展整机组装、液冷枪线生产、充电桩生产、光伏设备生产、储能设备生产、电力配套设备生产等项目，完善产业链，加快形成百亿级的充电设备产业集群。</w:t>
      </w:r>
    </w:p>
    <w:p>
      <w:pPr>
        <w:pStyle w:val="3"/>
        <w:ind w:firstLine="640"/>
      </w:pPr>
      <w:bookmarkStart w:id="184" w:name="_Toc24180"/>
      <w:r>
        <w:rPr>
          <w:rFonts w:hint="eastAsia"/>
        </w:rPr>
        <w:t>四、鼓励充电设施开放共享</w:t>
      </w:r>
      <w:bookmarkEnd w:id="184"/>
    </w:p>
    <w:p>
      <w:pPr>
        <w:ind w:firstLine="640"/>
      </w:pPr>
      <w:r>
        <w:rPr>
          <w:rFonts w:hint="eastAsia" w:ascii="楷体_GB2312" w:hAnsi="楷体_GB2312" w:eastAsia="楷体_GB2312" w:cs="楷体_GB2312"/>
        </w:rPr>
        <w:t>引导居民区提供充电设施共享服务。</w:t>
      </w:r>
      <w:r>
        <w:t>对具备条件的居民区，物业服务企业或充电设施运营企业应将现有充电设施纳入统一管理，</w:t>
      </w:r>
      <w:r>
        <w:rPr>
          <w:rFonts w:hint="eastAsia"/>
        </w:rPr>
        <w:t>有需要的固定车位应装尽装，</w:t>
      </w:r>
      <w:r>
        <w:t>利用现有充电车位的空闲时间，为小区居民</w:t>
      </w:r>
      <w:r>
        <w:rPr>
          <w:rFonts w:hint="eastAsia"/>
        </w:rPr>
        <w:t>及周边车主</w:t>
      </w:r>
      <w:r>
        <w:t>提供充电服务</w:t>
      </w:r>
      <w:r>
        <w:rPr>
          <w:rFonts w:hint="eastAsia"/>
        </w:rPr>
        <w:t>，切实保障业主合法权益</w:t>
      </w:r>
      <w:r>
        <w:t>。</w:t>
      </w:r>
    </w:p>
    <w:p>
      <w:pPr>
        <w:ind w:firstLine="640"/>
      </w:pPr>
      <w:r>
        <w:rPr>
          <w:rFonts w:hint="eastAsia" w:ascii="楷体_GB2312" w:hAnsi="楷体_GB2312" w:eastAsia="楷体_GB2312" w:cs="楷体_GB2312"/>
        </w:rPr>
        <w:t>鼓励公共机构及企业充电设施有序开放。</w:t>
      </w:r>
      <w:r>
        <w:t>符合开放条件的公共机构及企业要向实名预约的社会车辆开放充电设施。各级公共机构节能管理部门要将公共机构充电设施配建、开放情况纳入公共机构节能考核内容，在统计公共机构用电量时扣除新能源汽车用电量。</w:t>
      </w:r>
    </w:p>
    <w:p>
      <w:pPr>
        <w:ind w:firstLine="640"/>
      </w:pPr>
      <w:r>
        <w:rPr>
          <w:rFonts w:hint="eastAsia" w:ascii="楷体_GB2312" w:hAnsi="楷体_GB2312" w:eastAsia="楷体_GB2312" w:cs="楷体_GB2312"/>
        </w:rPr>
        <w:t>鼓励专用充电设施对社会车辆开放。</w:t>
      </w:r>
      <w:r>
        <w:t>公交、环卫、物流、通勤等公共服务领域的专用充电站，要在满足本单位充电需求的基础上，分区分时段对社会车辆开放。</w:t>
      </w:r>
    </w:p>
    <w:p>
      <w:pPr>
        <w:pStyle w:val="2"/>
        <w:spacing w:after="0" w:afterLines="0"/>
      </w:pPr>
      <w:bookmarkStart w:id="185" w:name="_Toc20983"/>
      <w:r>
        <w:rPr>
          <w:rFonts w:hint="eastAsia"/>
        </w:rPr>
        <w:t>第七章 保障措施</w:t>
      </w:r>
      <w:bookmarkEnd w:id="185"/>
    </w:p>
    <w:p>
      <w:pPr>
        <w:pStyle w:val="3"/>
        <w:ind w:firstLine="640"/>
      </w:pPr>
      <w:bookmarkStart w:id="186" w:name="_Toc7784"/>
      <w:r>
        <w:rPr>
          <w:rFonts w:hint="eastAsia"/>
        </w:rPr>
        <w:t>一、加强组织领导</w:t>
      </w:r>
      <w:bookmarkEnd w:id="186"/>
    </w:p>
    <w:p>
      <w:pPr>
        <w:ind w:firstLine="640"/>
      </w:pPr>
      <w:r>
        <w:rPr>
          <w:rFonts w:hint="eastAsia"/>
        </w:rPr>
        <w:t>统筹新能源充电基础设施建设管理工作，建立由各级发改部门牵头、各相关行业主管部门密切配合的协同工作机制，统筹制定区域内充电设施建设支持政策，协调推进重大事项，促进充电设施建设工作与电动汽车推广应用有序衔接，确保充电设施建设工作取得实效。重视充电设施规划落地，研究与城市空间规划、电网规划的衔接机制和流程，制定与老旧小区改造、城市停车改造、城乡建设等相关行业管理机制的衔接措施。</w:t>
      </w:r>
    </w:p>
    <w:p>
      <w:pPr>
        <w:pStyle w:val="3"/>
        <w:ind w:firstLine="640"/>
      </w:pPr>
      <w:bookmarkStart w:id="187" w:name="_Toc14675"/>
      <w:r>
        <w:rPr>
          <w:rFonts w:hint="eastAsia"/>
        </w:rPr>
        <w:t>二、加快配套建设</w:t>
      </w:r>
      <w:bookmarkEnd w:id="187"/>
    </w:p>
    <w:p>
      <w:pPr>
        <w:ind w:firstLine="640"/>
      </w:pPr>
      <w:r>
        <w:rPr>
          <w:rFonts w:hint="eastAsia"/>
        </w:rPr>
        <w:t>按“适度超前”原则，电网企业要加大高速公路服务区、国（省）道和城际快速公路沿线、乡村地区等重点区域的充电设施接入电网配套工程建设力度。新建居住区应统一将供电线路敷设至专用固定停车位（或预留敷设条件），预留电表箱、充电设施安装位置和用电容量，配套供电设施应与主体建筑同步设计、同步施工。结合城镇老旧小区改造，积极推进居民区停车位的电气化改造，确保满足居民区充电设施用电需求。电网企业要为充电设施接入电网提供便利条件，开辟绿色通道，优化流程，简化手续，提高效率，限时办结。</w:t>
      </w:r>
    </w:p>
    <w:p>
      <w:pPr>
        <w:pStyle w:val="3"/>
        <w:ind w:firstLine="640"/>
      </w:pPr>
      <w:bookmarkStart w:id="188" w:name="_Toc18507"/>
      <w:r>
        <w:rPr>
          <w:rFonts w:hint="eastAsia"/>
        </w:rPr>
        <w:t>三、</w:t>
      </w:r>
      <w:bookmarkEnd w:id="188"/>
      <w:r>
        <w:rPr>
          <w:rFonts w:hint="eastAsia"/>
        </w:rPr>
        <w:t>强化政策支持</w:t>
      </w:r>
    </w:p>
    <w:p>
      <w:pPr>
        <w:ind w:firstLine="640"/>
      </w:pPr>
      <w:r>
        <w:rPr>
          <w:rFonts w:hint="eastAsia"/>
        </w:rPr>
        <w:t>坚持问题导向，聚焦企业反映的突出问题，从企业实际需求出发，制定相应管理办法，深化营商环境重点领域改革，切实增强政策有效性。继续加大新能源充电设施政策支持力度，</w:t>
      </w:r>
      <w:r>
        <w:t>优化补贴策略，研究差异化补贴政策，逐步规范充电桩补贴标准依据，推动充电基础设施补贴由建设向运营倾斜，建立与服务质量挂钩的运营补贴标准，进一步向优质场站倾斜。加</w:t>
      </w:r>
      <w:r>
        <w:rPr>
          <w:rFonts w:hint="eastAsia"/>
        </w:rPr>
        <w:t>大超级充电、</w:t>
      </w:r>
      <w:r>
        <w:t>大功率充电、车网互动</w:t>
      </w:r>
      <w:r>
        <w:rPr>
          <w:rFonts w:hint="eastAsia"/>
        </w:rPr>
        <w:t>、智能有序充电、光储充一体化充电站</w:t>
      </w:r>
      <w:r>
        <w:t>等示范类设施的补贴力度，促进行业转型升级。</w:t>
      </w:r>
    </w:p>
    <w:p>
      <w:pPr>
        <w:pStyle w:val="3"/>
        <w:ind w:firstLine="640"/>
      </w:pPr>
      <w:r>
        <w:rPr>
          <w:rFonts w:hint="eastAsia"/>
        </w:rPr>
        <w:t>四、创新金融服务</w:t>
      </w:r>
    </w:p>
    <w:p>
      <w:pPr>
        <w:ind w:firstLine="640"/>
      </w:pPr>
      <w:r>
        <w:rPr>
          <w:rFonts w:hint="eastAsia"/>
        </w:rPr>
        <w:t>深入推进金融服务实体经济，助力企业高质量发展。将符合条件的专用、公用充电设施纳入本市新型基础设施建设支持范畴，鼓励金融机构在商业可持续原则下，通过优惠利率信贷专项支持和贴息支持等，为充换电设施建设提供长期低成本资金。鼓励保险机构开发适合充换电设施建设运营的商业保险产品，强化服务支撑。</w:t>
      </w:r>
    </w:p>
    <w:p>
      <w:pPr>
        <w:pStyle w:val="3"/>
        <w:ind w:firstLine="640"/>
      </w:pPr>
      <w:r>
        <w:rPr>
          <w:rFonts w:hint="eastAsia"/>
        </w:rPr>
        <w:t>五、给予用地支持</w:t>
      </w:r>
    </w:p>
    <w:p>
      <w:pPr>
        <w:ind w:firstLine="640"/>
      </w:pPr>
      <w:r>
        <w:rPr>
          <w:rFonts w:hint="eastAsia"/>
        </w:rPr>
        <w:t>规划部门按照简政放权、放管结合、优化服务的原则，为集中式充换电站及其配套建筑的规划建设审批开辟绿色通道，加快办理速度。鼓励利用企事业单位等的边角、零散、闲置土地建设社会公用充电桩，鼓励乡镇区域利用集体土地建设社会公用充电桩。</w:t>
      </w:r>
    </w:p>
    <w:p>
      <w:pPr>
        <w:ind w:firstLine="640"/>
      </w:pPr>
    </w:p>
    <w:sectPr>
      <w:headerReference r:id="rId5" w:type="default"/>
      <w:footerReference r:id="rId7" w:type="default"/>
      <w:headerReference r:id="rId6" w:type="even"/>
      <w:footerReference r:id="rId8" w:type="even"/>
      <w:pgSz w:w="11906" w:h="16838"/>
      <w:pgMar w:top="2098" w:right="1474" w:bottom="1984" w:left="1587" w:header="851" w:footer="1474" w:gutter="0"/>
      <w:pgNumType w:start="1"/>
      <w:cols w:space="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2312">
    <w:altName w:val="方正仿宋_GBK"/>
    <w:panose1 w:val="00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7560" w:firstLineChars="2700"/>
      <w:rPr>
        <w:rFonts w:cs="Times New Roman"/>
        <w:sz w:val="24"/>
      </w:rPr>
    </w:pPr>
    <w:r>
      <w:rPr>
        <w:rFonts w:cs="Times New Roman"/>
        <w:sz w:val="28"/>
        <w:szCs w:val="28"/>
      </w:rPr>
      <w:t>—</w:t>
    </w:r>
    <w:r>
      <w:rPr>
        <w:rFonts w:hint="eastAsia" w:cs="Times New Roman"/>
        <w:sz w:val="28"/>
        <w:szCs w:val="28"/>
      </w:rPr>
      <w:t xml:space="preserve"> </w:t>
    </w:r>
    <w:r>
      <w:rPr>
        <w:rFonts w:cs="Times New Roman"/>
        <w:sz w:val="28"/>
        <w:szCs w:val="28"/>
      </w:rPr>
      <w:fldChar w:fldCharType="begin"/>
    </w:r>
    <w:r>
      <w:rPr>
        <w:rFonts w:cs="Times New Roman"/>
        <w:sz w:val="28"/>
        <w:szCs w:val="28"/>
      </w:rPr>
      <w:instrText xml:space="preserve">PAGE   \* MERGEFORMAT</w:instrText>
    </w:r>
    <w:r>
      <w:rPr>
        <w:rFonts w:cs="Times New Roman"/>
        <w:sz w:val="28"/>
        <w:szCs w:val="28"/>
      </w:rPr>
      <w:fldChar w:fldCharType="separate"/>
    </w:r>
    <w:r>
      <w:rPr>
        <w:rFonts w:cs="Times New Roman"/>
        <w:sz w:val="28"/>
        <w:szCs w:val="28"/>
        <w:lang w:val="zh-CN"/>
      </w:rPr>
      <w:t>39</w:t>
    </w:r>
    <w:r>
      <w:rPr>
        <w:rFonts w:cs="Times New Roman"/>
        <w:sz w:val="28"/>
        <w:szCs w:val="28"/>
      </w:rPr>
      <w:fldChar w:fldCharType="end"/>
    </w:r>
    <w:r>
      <w:rPr>
        <w:rFonts w:hint="eastAsia" w:cs="Times New Roman"/>
        <w:sz w:val="28"/>
        <w:szCs w:val="28"/>
      </w:rPr>
      <w:t xml:space="preserve"> </w:t>
    </w:r>
    <w:r>
      <w:rPr>
        <w:rFonts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80" w:firstLineChars="100"/>
      <w:rPr>
        <w:rFonts w:cs="Times New Roman"/>
        <w:sz w:val="24"/>
      </w:rPr>
    </w:pPr>
    <w:r>
      <w:rPr>
        <w:rFonts w:cs="Times New Roman"/>
        <w:sz w:val="28"/>
        <w:szCs w:val="28"/>
      </w:rPr>
      <w:t>—</w:t>
    </w:r>
    <w:r>
      <w:rPr>
        <w:rFonts w:hint="eastAsia" w:cs="Times New Roman"/>
        <w:sz w:val="28"/>
        <w:szCs w:val="28"/>
      </w:rPr>
      <w:t xml:space="preserve"> </w:t>
    </w:r>
    <w:r>
      <w:rPr>
        <w:rFonts w:cs="Times New Roman"/>
        <w:sz w:val="28"/>
        <w:szCs w:val="28"/>
      </w:rPr>
      <w:fldChar w:fldCharType="begin"/>
    </w:r>
    <w:r>
      <w:rPr>
        <w:rFonts w:cs="Times New Roman"/>
        <w:sz w:val="28"/>
        <w:szCs w:val="28"/>
      </w:rPr>
      <w:instrText xml:space="preserve">PAGE   \* MERGEFORMAT</w:instrText>
    </w:r>
    <w:r>
      <w:rPr>
        <w:rFonts w:cs="Times New Roman"/>
        <w:sz w:val="28"/>
        <w:szCs w:val="28"/>
      </w:rPr>
      <w:fldChar w:fldCharType="separate"/>
    </w:r>
    <w:r>
      <w:rPr>
        <w:rFonts w:cs="Times New Roman"/>
        <w:sz w:val="28"/>
        <w:szCs w:val="28"/>
        <w:lang w:val="zh-CN"/>
      </w:rPr>
      <w:t>38</w:t>
    </w:r>
    <w:r>
      <w:rPr>
        <w:rFonts w:cs="Times New Roman"/>
        <w:sz w:val="28"/>
        <w:szCs w:val="28"/>
      </w:rPr>
      <w:fldChar w:fldCharType="end"/>
    </w:r>
    <w:r>
      <w:rPr>
        <w:rFonts w:hint="eastAsia" w:cs="Times New Roman"/>
        <w:sz w:val="28"/>
        <w:szCs w:val="28"/>
      </w:rPr>
      <w:t xml:space="preserve"> </w:t>
    </w:r>
    <w:r>
      <w:rPr>
        <w:rFonts w:cs="Times New Roman"/>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eastAsia="方正仿宋_GB2312"/>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evenAndOddHeaders w:val="1"/>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iZDIzMjBhYjY3YjcwYmIxYWI1NjM4YzVmYjEyMDMifQ=="/>
  </w:docVars>
  <w:rsids>
    <w:rsidRoot w:val="001A7BC2"/>
    <w:rsid w:val="00000540"/>
    <w:rsid w:val="00021117"/>
    <w:rsid w:val="00055B2F"/>
    <w:rsid w:val="00057D7F"/>
    <w:rsid w:val="000743B6"/>
    <w:rsid w:val="00086B54"/>
    <w:rsid w:val="000964FA"/>
    <w:rsid w:val="000D1D3F"/>
    <w:rsid w:val="000D63E7"/>
    <w:rsid w:val="000F1319"/>
    <w:rsid w:val="000F7439"/>
    <w:rsid w:val="001034F7"/>
    <w:rsid w:val="00123738"/>
    <w:rsid w:val="001404BE"/>
    <w:rsid w:val="0017185A"/>
    <w:rsid w:val="001A7BC2"/>
    <w:rsid w:val="001C6BF8"/>
    <w:rsid w:val="001D49F7"/>
    <w:rsid w:val="002119B6"/>
    <w:rsid w:val="00213744"/>
    <w:rsid w:val="0022487A"/>
    <w:rsid w:val="00245622"/>
    <w:rsid w:val="00254664"/>
    <w:rsid w:val="002563E2"/>
    <w:rsid w:val="00265B33"/>
    <w:rsid w:val="0027546C"/>
    <w:rsid w:val="00276260"/>
    <w:rsid w:val="00284093"/>
    <w:rsid w:val="00285F91"/>
    <w:rsid w:val="002B36E9"/>
    <w:rsid w:val="002E6540"/>
    <w:rsid w:val="002F1465"/>
    <w:rsid w:val="00311AD4"/>
    <w:rsid w:val="00330AD6"/>
    <w:rsid w:val="0034629A"/>
    <w:rsid w:val="00346343"/>
    <w:rsid w:val="00392388"/>
    <w:rsid w:val="003952C9"/>
    <w:rsid w:val="003D1F4B"/>
    <w:rsid w:val="003E1EDA"/>
    <w:rsid w:val="003F3E5E"/>
    <w:rsid w:val="003F4D1B"/>
    <w:rsid w:val="004006D1"/>
    <w:rsid w:val="00406543"/>
    <w:rsid w:val="00431112"/>
    <w:rsid w:val="00434064"/>
    <w:rsid w:val="00436C90"/>
    <w:rsid w:val="00440DE8"/>
    <w:rsid w:val="00462F9A"/>
    <w:rsid w:val="00472127"/>
    <w:rsid w:val="004825CB"/>
    <w:rsid w:val="00483F4B"/>
    <w:rsid w:val="00486A9E"/>
    <w:rsid w:val="0049676B"/>
    <w:rsid w:val="004B0897"/>
    <w:rsid w:val="004D382B"/>
    <w:rsid w:val="00512A1D"/>
    <w:rsid w:val="0052027D"/>
    <w:rsid w:val="00526849"/>
    <w:rsid w:val="00535EC3"/>
    <w:rsid w:val="00557E84"/>
    <w:rsid w:val="005B103B"/>
    <w:rsid w:val="005B3387"/>
    <w:rsid w:val="005C293F"/>
    <w:rsid w:val="005E6EA1"/>
    <w:rsid w:val="0060042F"/>
    <w:rsid w:val="0060614E"/>
    <w:rsid w:val="00613209"/>
    <w:rsid w:val="00657F52"/>
    <w:rsid w:val="00663037"/>
    <w:rsid w:val="00667EC0"/>
    <w:rsid w:val="0067071C"/>
    <w:rsid w:val="00683E64"/>
    <w:rsid w:val="0069548B"/>
    <w:rsid w:val="006D2884"/>
    <w:rsid w:val="006E16BF"/>
    <w:rsid w:val="006F59E3"/>
    <w:rsid w:val="00700CDB"/>
    <w:rsid w:val="0070337D"/>
    <w:rsid w:val="00715231"/>
    <w:rsid w:val="007428E3"/>
    <w:rsid w:val="00762284"/>
    <w:rsid w:val="00763A52"/>
    <w:rsid w:val="00765D27"/>
    <w:rsid w:val="00794D7B"/>
    <w:rsid w:val="007A061C"/>
    <w:rsid w:val="007A4664"/>
    <w:rsid w:val="007C6815"/>
    <w:rsid w:val="007D3694"/>
    <w:rsid w:val="007D5420"/>
    <w:rsid w:val="007F03DC"/>
    <w:rsid w:val="007F4232"/>
    <w:rsid w:val="008031E4"/>
    <w:rsid w:val="00814077"/>
    <w:rsid w:val="0081550B"/>
    <w:rsid w:val="008447B9"/>
    <w:rsid w:val="0085551E"/>
    <w:rsid w:val="00861644"/>
    <w:rsid w:val="00865653"/>
    <w:rsid w:val="00870057"/>
    <w:rsid w:val="0087726D"/>
    <w:rsid w:val="008932A8"/>
    <w:rsid w:val="008B273E"/>
    <w:rsid w:val="008C2003"/>
    <w:rsid w:val="008C6E41"/>
    <w:rsid w:val="008C7157"/>
    <w:rsid w:val="008E5B2E"/>
    <w:rsid w:val="008F0BC5"/>
    <w:rsid w:val="008F176B"/>
    <w:rsid w:val="009172D0"/>
    <w:rsid w:val="00917550"/>
    <w:rsid w:val="00921132"/>
    <w:rsid w:val="00945E51"/>
    <w:rsid w:val="00950464"/>
    <w:rsid w:val="00972F75"/>
    <w:rsid w:val="0098108E"/>
    <w:rsid w:val="009836A0"/>
    <w:rsid w:val="009B5591"/>
    <w:rsid w:val="009B6441"/>
    <w:rsid w:val="009C6DBF"/>
    <w:rsid w:val="009F17E4"/>
    <w:rsid w:val="009F1F0F"/>
    <w:rsid w:val="009F5C83"/>
    <w:rsid w:val="009F5D86"/>
    <w:rsid w:val="00A0025E"/>
    <w:rsid w:val="00A03832"/>
    <w:rsid w:val="00A132CD"/>
    <w:rsid w:val="00A2274B"/>
    <w:rsid w:val="00A4641D"/>
    <w:rsid w:val="00A4694F"/>
    <w:rsid w:val="00A471E3"/>
    <w:rsid w:val="00A60C90"/>
    <w:rsid w:val="00A851FE"/>
    <w:rsid w:val="00A95E36"/>
    <w:rsid w:val="00AB02EA"/>
    <w:rsid w:val="00AB760A"/>
    <w:rsid w:val="00AF322B"/>
    <w:rsid w:val="00AF5553"/>
    <w:rsid w:val="00B02C57"/>
    <w:rsid w:val="00B06087"/>
    <w:rsid w:val="00B4383D"/>
    <w:rsid w:val="00B50654"/>
    <w:rsid w:val="00B52418"/>
    <w:rsid w:val="00B54775"/>
    <w:rsid w:val="00B8713F"/>
    <w:rsid w:val="00B91C18"/>
    <w:rsid w:val="00BB6C25"/>
    <w:rsid w:val="00BE5350"/>
    <w:rsid w:val="00BE5891"/>
    <w:rsid w:val="00BF4CC4"/>
    <w:rsid w:val="00C135ED"/>
    <w:rsid w:val="00C1782B"/>
    <w:rsid w:val="00C2523E"/>
    <w:rsid w:val="00C26987"/>
    <w:rsid w:val="00C34C21"/>
    <w:rsid w:val="00C415A6"/>
    <w:rsid w:val="00C63B6A"/>
    <w:rsid w:val="00C66F06"/>
    <w:rsid w:val="00C77E84"/>
    <w:rsid w:val="00C94B73"/>
    <w:rsid w:val="00CE5EC4"/>
    <w:rsid w:val="00CE7AAF"/>
    <w:rsid w:val="00CF64EE"/>
    <w:rsid w:val="00D42817"/>
    <w:rsid w:val="00D454F7"/>
    <w:rsid w:val="00D67D5B"/>
    <w:rsid w:val="00D725E4"/>
    <w:rsid w:val="00D767A2"/>
    <w:rsid w:val="00D97C37"/>
    <w:rsid w:val="00DA1173"/>
    <w:rsid w:val="00DC4250"/>
    <w:rsid w:val="00E0191C"/>
    <w:rsid w:val="00E579BD"/>
    <w:rsid w:val="00E76C3D"/>
    <w:rsid w:val="00E81D32"/>
    <w:rsid w:val="00E869BD"/>
    <w:rsid w:val="00E9530E"/>
    <w:rsid w:val="00ED188F"/>
    <w:rsid w:val="00EE0C58"/>
    <w:rsid w:val="00EF4065"/>
    <w:rsid w:val="00EF609B"/>
    <w:rsid w:val="00F21F68"/>
    <w:rsid w:val="00F359CB"/>
    <w:rsid w:val="00F40967"/>
    <w:rsid w:val="00F5046D"/>
    <w:rsid w:val="00F6782A"/>
    <w:rsid w:val="00F77F1C"/>
    <w:rsid w:val="00F83E39"/>
    <w:rsid w:val="00F86D88"/>
    <w:rsid w:val="00F87325"/>
    <w:rsid w:val="00F93C40"/>
    <w:rsid w:val="00FB623A"/>
    <w:rsid w:val="010B2944"/>
    <w:rsid w:val="01213331"/>
    <w:rsid w:val="01214D31"/>
    <w:rsid w:val="01327819"/>
    <w:rsid w:val="013A5D58"/>
    <w:rsid w:val="01785B98"/>
    <w:rsid w:val="01AA66C3"/>
    <w:rsid w:val="020877CF"/>
    <w:rsid w:val="02147EA9"/>
    <w:rsid w:val="0288005D"/>
    <w:rsid w:val="02985DC6"/>
    <w:rsid w:val="03193BED"/>
    <w:rsid w:val="0361265C"/>
    <w:rsid w:val="037B58D6"/>
    <w:rsid w:val="038720C2"/>
    <w:rsid w:val="03F90AE6"/>
    <w:rsid w:val="044004C3"/>
    <w:rsid w:val="046D0208"/>
    <w:rsid w:val="04851D11"/>
    <w:rsid w:val="04CA1424"/>
    <w:rsid w:val="051F4905"/>
    <w:rsid w:val="058368B9"/>
    <w:rsid w:val="05962A91"/>
    <w:rsid w:val="05FB0B46"/>
    <w:rsid w:val="065D710A"/>
    <w:rsid w:val="066E521F"/>
    <w:rsid w:val="06785598"/>
    <w:rsid w:val="069F5975"/>
    <w:rsid w:val="06CB676A"/>
    <w:rsid w:val="073836D3"/>
    <w:rsid w:val="073B1607"/>
    <w:rsid w:val="074050DC"/>
    <w:rsid w:val="07724E37"/>
    <w:rsid w:val="07A5657E"/>
    <w:rsid w:val="07AA45D1"/>
    <w:rsid w:val="07BA02B6"/>
    <w:rsid w:val="07E31891"/>
    <w:rsid w:val="07E850FA"/>
    <w:rsid w:val="07F25F78"/>
    <w:rsid w:val="07F650C3"/>
    <w:rsid w:val="081265EE"/>
    <w:rsid w:val="08193505"/>
    <w:rsid w:val="08322ACA"/>
    <w:rsid w:val="089B1EE9"/>
    <w:rsid w:val="08AE6343"/>
    <w:rsid w:val="08F24ABA"/>
    <w:rsid w:val="090424E7"/>
    <w:rsid w:val="090E20D9"/>
    <w:rsid w:val="09332922"/>
    <w:rsid w:val="09613832"/>
    <w:rsid w:val="0966060A"/>
    <w:rsid w:val="09AB1EBE"/>
    <w:rsid w:val="09F22753"/>
    <w:rsid w:val="09FF7EBE"/>
    <w:rsid w:val="0A4C0BBE"/>
    <w:rsid w:val="0A8627EA"/>
    <w:rsid w:val="0A9F28C6"/>
    <w:rsid w:val="0AB2633B"/>
    <w:rsid w:val="0ACB2CCA"/>
    <w:rsid w:val="0ACE3FC6"/>
    <w:rsid w:val="0AF439A4"/>
    <w:rsid w:val="0AFB2B50"/>
    <w:rsid w:val="0B432DEB"/>
    <w:rsid w:val="0B7A2E36"/>
    <w:rsid w:val="0BC11EE9"/>
    <w:rsid w:val="0BEF6A57"/>
    <w:rsid w:val="0C176886"/>
    <w:rsid w:val="0C284BF3"/>
    <w:rsid w:val="0C3E586C"/>
    <w:rsid w:val="0C72360F"/>
    <w:rsid w:val="0C790A16"/>
    <w:rsid w:val="0D0213FF"/>
    <w:rsid w:val="0D5D11AD"/>
    <w:rsid w:val="0D6D4454"/>
    <w:rsid w:val="0D727FA5"/>
    <w:rsid w:val="0D8E6D0D"/>
    <w:rsid w:val="0DB5782C"/>
    <w:rsid w:val="0DB81183"/>
    <w:rsid w:val="0DBE6E39"/>
    <w:rsid w:val="0E2F613E"/>
    <w:rsid w:val="0E5002B0"/>
    <w:rsid w:val="0E7D2A40"/>
    <w:rsid w:val="0E864B2C"/>
    <w:rsid w:val="0E8A2A67"/>
    <w:rsid w:val="0EBF3EC2"/>
    <w:rsid w:val="0F3552E0"/>
    <w:rsid w:val="0F891E37"/>
    <w:rsid w:val="0FAA18C3"/>
    <w:rsid w:val="0FD10A5B"/>
    <w:rsid w:val="0FDF377C"/>
    <w:rsid w:val="111B51FC"/>
    <w:rsid w:val="114B34E9"/>
    <w:rsid w:val="116457F1"/>
    <w:rsid w:val="11780B81"/>
    <w:rsid w:val="118659F4"/>
    <w:rsid w:val="11D566EF"/>
    <w:rsid w:val="12A14823"/>
    <w:rsid w:val="12BB5953"/>
    <w:rsid w:val="13033FA0"/>
    <w:rsid w:val="13103CB9"/>
    <w:rsid w:val="13860453"/>
    <w:rsid w:val="13B862C8"/>
    <w:rsid w:val="13D75442"/>
    <w:rsid w:val="13F623DF"/>
    <w:rsid w:val="1441006B"/>
    <w:rsid w:val="144D7836"/>
    <w:rsid w:val="145F6743"/>
    <w:rsid w:val="148368D6"/>
    <w:rsid w:val="14C00D2F"/>
    <w:rsid w:val="14CB7F13"/>
    <w:rsid w:val="14D0319D"/>
    <w:rsid w:val="14F55C59"/>
    <w:rsid w:val="151400FD"/>
    <w:rsid w:val="152E6A1B"/>
    <w:rsid w:val="152F500E"/>
    <w:rsid w:val="15575009"/>
    <w:rsid w:val="157D50FE"/>
    <w:rsid w:val="159C55D7"/>
    <w:rsid w:val="15A07014"/>
    <w:rsid w:val="15F74D8A"/>
    <w:rsid w:val="16011834"/>
    <w:rsid w:val="16241967"/>
    <w:rsid w:val="16322361"/>
    <w:rsid w:val="16367005"/>
    <w:rsid w:val="16D90FBB"/>
    <w:rsid w:val="16E30A4A"/>
    <w:rsid w:val="173147A7"/>
    <w:rsid w:val="17B75D17"/>
    <w:rsid w:val="17C23271"/>
    <w:rsid w:val="17D905BB"/>
    <w:rsid w:val="17DF02C7"/>
    <w:rsid w:val="17E36C94"/>
    <w:rsid w:val="18636CAE"/>
    <w:rsid w:val="18F77513"/>
    <w:rsid w:val="190873AA"/>
    <w:rsid w:val="19BC2960"/>
    <w:rsid w:val="19CB09FB"/>
    <w:rsid w:val="19F811CC"/>
    <w:rsid w:val="1A712772"/>
    <w:rsid w:val="1A8E6781"/>
    <w:rsid w:val="1AB27C2F"/>
    <w:rsid w:val="1B251B00"/>
    <w:rsid w:val="1B682381"/>
    <w:rsid w:val="1C10426E"/>
    <w:rsid w:val="1C2269D4"/>
    <w:rsid w:val="1C987C02"/>
    <w:rsid w:val="1CA81C4F"/>
    <w:rsid w:val="1CB6711D"/>
    <w:rsid w:val="1CF30371"/>
    <w:rsid w:val="1D061CE3"/>
    <w:rsid w:val="1D2301F8"/>
    <w:rsid w:val="1D4268B7"/>
    <w:rsid w:val="1DA57C9E"/>
    <w:rsid w:val="1DB03729"/>
    <w:rsid w:val="1DD05AC7"/>
    <w:rsid w:val="1DD166E5"/>
    <w:rsid w:val="1E0526C2"/>
    <w:rsid w:val="1E18008F"/>
    <w:rsid w:val="1E5615B1"/>
    <w:rsid w:val="1E7E1EBC"/>
    <w:rsid w:val="1EE461C3"/>
    <w:rsid w:val="1F26469E"/>
    <w:rsid w:val="1F3778DB"/>
    <w:rsid w:val="1F7A6B27"/>
    <w:rsid w:val="201C198C"/>
    <w:rsid w:val="211A6629"/>
    <w:rsid w:val="215727DE"/>
    <w:rsid w:val="21577120"/>
    <w:rsid w:val="21E40F3F"/>
    <w:rsid w:val="221D1CAF"/>
    <w:rsid w:val="221F5BA9"/>
    <w:rsid w:val="22205764"/>
    <w:rsid w:val="22DE2B72"/>
    <w:rsid w:val="22EC0458"/>
    <w:rsid w:val="22FA3FF7"/>
    <w:rsid w:val="22FC7351"/>
    <w:rsid w:val="2358717F"/>
    <w:rsid w:val="236C2AEB"/>
    <w:rsid w:val="23711FEF"/>
    <w:rsid w:val="2379494F"/>
    <w:rsid w:val="23A128D5"/>
    <w:rsid w:val="243B37E2"/>
    <w:rsid w:val="2509518D"/>
    <w:rsid w:val="25551BC9"/>
    <w:rsid w:val="25583467"/>
    <w:rsid w:val="256E50BB"/>
    <w:rsid w:val="2570402A"/>
    <w:rsid w:val="258D235B"/>
    <w:rsid w:val="25B35F37"/>
    <w:rsid w:val="25DB43EB"/>
    <w:rsid w:val="25EB21AA"/>
    <w:rsid w:val="260D7D7A"/>
    <w:rsid w:val="2613738E"/>
    <w:rsid w:val="262D12FD"/>
    <w:rsid w:val="262F2F57"/>
    <w:rsid w:val="26311470"/>
    <w:rsid w:val="26355556"/>
    <w:rsid w:val="266A51AE"/>
    <w:rsid w:val="26747E2C"/>
    <w:rsid w:val="27441EF5"/>
    <w:rsid w:val="27530AF0"/>
    <w:rsid w:val="27680DB0"/>
    <w:rsid w:val="27737FA4"/>
    <w:rsid w:val="27805913"/>
    <w:rsid w:val="27ED433A"/>
    <w:rsid w:val="27F9431E"/>
    <w:rsid w:val="28035689"/>
    <w:rsid w:val="283755B5"/>
    <w:rsid w:val="284779B7"/>
    <w:rsid w:val="284B2E0F"/>
    <w:rsid w:val="287D1F3D"/>
    <w:rsid w:val="289D3B08"/>
    <w:rsid w:val="29591ACF"/>
    <w:rsid w:val="295E4DC4"/>
    <w:rsid w:val="29787C34"/>
    <w:rsid w:val="2A053362"/>
    <w:rsid w:val="2A19780D"/>
    <w:rsid w:val="2A2C4823"/>
    <w:rsid w:val="2A4E4E38"/>
    <w:rsid w:val="2A585CB7"/>
    <w:rsid w:val="2A834555"/>
    <w:rsid w:val="2AE77FE4"/>
    <w:rsid w:val="2B00280F"/>
    <w:rsid w:val="2B707409"/>
    <w:rsid w:val="2BB64683"/>
    <w:rsid w:val="2BEC4909"/>
    <w:rsid w:val="2C3207F5"/>
    <w:rsid w:val="2C5524AE"/>
    <w:rsid w:val="2CB337AE"/>
    <w:rsid w:val="2CE02702"/>
    <w:rsid w:val="2D0619FA"/>
    <w:rsid w:val="2D355E3C"/>
    <w:rsid w:val="2D547854"/>
    <w:rsid w:val="2D9C5F8D"/>
    <w:rsid w:val="2DC670F6"/>
    <w:rsid w:val="2DDC1E63"/>
    <w:rsid w:val="2E041E47"/>
    <w:rsid w:val="2E61338C"/>
    <w:rsid w:val="2E98081C"/>
    <w:rsid w:val="2EC35DF5"/>
    <w:rsid w:val="2ECB7E30"/>
    <w:rsid w:val="2ED43AA0"/>
    <w:rsid w:val="2EE67C92"/>
    <w:rsid w:val="2EE87609"/>
    <w:rsid w:val="2EEE2746"/>
    <w:rsid w:val="2EF67C47"/>
    <w:rsid w:val="2F060241"/>
    <w:rsid w:val="2F154177"/>
    <w:rsid w:val="2F2B24C1"/>
    <w:rsid w:val="2F327927"/>
    <w:rsid w:val="2F6FFAA4"/>
    <w:rsid w:val="2FA767F0"/>
    <w:rsid w:val="2FEF26C6"/>
    <w:rsid w:val="301D32E3"/>
    <w:rsid w:val="30410CDE"/>
    <w:rsid w:val="305B205D"/>
    <w:rsid w:val="309827E9"/>
    <w:rsid w:val="30B67293"/>
    <w:rsid w:val="30E81DDA"/>
    <w:rsid w:val="311712AA"/>
    <w:rsid w:val="313A2A48"/>
    <w:rsid w:val="317F3B29"/>
    <w:rsid w:val="31E60F90"/>
    <w:rsid w:val="31EF2344"/>
    <w:rsid w:val="31F64546"/>
    <w:rsid w:val="322C5475"/>
    <w:rsid w:val="324377CD"/>
    <w:rsid w:val="32904240"/>
    <w:rsid w:val="32AB7041"/>
    <w:rsid w:val="32D1532E"/>
    <w:rsid w:val="32E131D8"/>
    <w:rsid w:val="3307468F"/>
    <w:rsid w:val="330F2278"/>
    <w:rsid w:val="336450D8"/>
    <w:rsid w:val="339C222A"/>
    <w:rsid w:val="33CB12A8"/>
    <w:rsid w:val="33D12B57"/>
    <w:rsid w:val="33D62126"/>
    <w:rsid w:val="33E660E2"/>
    <w:rsid w:val="34052A6B"/>
    <w:rsid w:val="348222AE"/>
    <w:rsid w:val="34BB3176"/>
    <w:rsid w:val="351B5255"/>
    <w:rsid w:val="35357321"/>
    <w:rsid w:val="35422A9D"/>
    <w:rsid w:val="354B7C03"/>
    <w:rsid w:val="35A024A0"/>
    <w:rsid w:val="35CF4B6B"/>
    <w:rsid w:val="36193493"/>
    <w:rsid w:val="361E7DD8"/>
    <w:rsid w:val="36820344"/>
    <w:rsid w:val="369A0B25"/>
    <w:rsid w:val="36BE6EA2"/>
    <w:rsid w:val="36D61FCF"/>
    <w:rsid w:val="36E44B5A"/>
    <w:rsid w:val="36F823B4"/>
    <w:rsid w:val="37BB7056"/>
    <w:rsid w:val="38044D88"/>
    <w:rsid w:val="380B25BB"/>
    <w:rsid w:val="381549C2"/>
    <w:rsid w:val="38164E89"/>
    <w:rsid w:val="38353194"/>
    <w:rsid w:val="38C537E4"/>
    <w:rsid w:val="38D02B94"/>
    <w:rsid w:val="3912667C"/>
    <w:rsid w:val="391E1F9A"/>
    <w:rsid w:val="3960046C"/>
    <w:rsid w:val="397F6DBC"/>
    <w:rsid w:val="398C2868"/>
    <w:rsid w:val="39B051C8"/>
    <w:rsid w:val="3A53579C"/>
    <w:rsid w:val="3A5465A8"/>
    <w:rsid w:val="3A6F15A7"/>
    <w:rsid w:val="3A88244C"/>
    <w:rsid w:val="3AAA5E81"/>
    <w:rsid w:val="3AE123A9"/>
    <w:rsid w:val="3B07350D"/>
    <w:rsid w:val="3B343BD6"/>
    <w:rsid w:val="3B5B1163"/>
    <w:rsid w:val="3B943CDD"/>
    <w:rsid w:val="3B9701D8"/>
    <w:rsid w:val="3B974891"/>
    <w:rsid w:val="3B9D79CE"/>
    <w:rsid w:val="3C5F5C7C"/>
    <w:rsid w:val="3C7470F6"/>
    <w:rsid w:val="3C862210"/>
    <w:rsid w:val="3D163594"/>
    <w:rsid w:val="3D581DFE"/>
    <w:rsid w:val="3D6407A3"/>
    <w:rsid w:val="3D7D1865"/>
    <w:rsid w:val="3D826E7B"/>
    <w:rsid w:val="3DA819B8"/>
    <w:rsid w:val="3DEE1E63"/>
    <w:rsid w:val="3E05423E"/>
    <w:rsid w:val="3E0D5403"/>
    <w:rsid w:val="3E1046A4"/>
    <w:rsid w:val="3E587BDC"/>
    <w:rsid w:val="3E861CFD"/>
    <w:rsid w:val="3F004ED5"/>
    <w:rsid w:val="3F192653"/>
    <w:rsid w:val="3F1C0F34"/>
    <w:rsid w:val="3F2928C6"/>
    <w:rsid w:val="3F4A7E6C"/>
    <w:rsid w:val="3F600597"/>
    <w:rsid w:val="3F651442"/>
    <w:rsid w:val="3FE21E53"/>
    <w:rsid w:val="401D6FD0"/>
    <w:rsid w:val="405A6456"/>
    <w:rsid w:val="40984C55"/>
    <w:rsid w:val="40A315E2"/>
    <w:rsid w:val="40F956A6"/>
    <w:rsid w:val="41016309"/>
    <w:rsid w:val="4131712D"/>
    <w:rsid w:val="41571710"/>
    <w:rsid w:val="415E375B"/>
    <w:rsid w:val="41727207"/>
    <w:rsid w:val="41BC71F2"/>
    <w:rsid w:val="41CA2B9F"/>
    <w:rsid w:val="41D1217F"/>
    <w:rsid w:val="420F3410"/>
    <w:rsid w:val="42357B10"/>
    <w:rsid w:val="42C2634D"/>
    <w:rsid w:val="42D26561"/>
    <w:rsid w:val="436D774F"/>
    <w:rsid w:val="439E2C25"/>
    <w:rsid w:val="43A31270"/>
    <w:rsid w:val="44061D06"/>
    <w:rsid w:val="441F24BC"/>
    <w:rsid w:val="4424661C"/>
    <w:rsid w:val="444667B2"/>
    <w:rsid w:val="44B81664"/>
    <w:rsid w:val="44E126D9"/>
    <w:rsid w:val="44EA2296"/>
    <w:rsid w:val="44EE3048"/>
    <w:rsid w:val="450F1B5B"/>
    <w:rsid w:val="45455B33"/>
    <w:rsid w:val="4577436E"/>
    <w:rsid w:val="45E76029"/>
    <w:rsid w:val="460F522F"/>
    <w:rsid w:val="465B665B"/>
    <w:rsid w:val="46DF6BCC"/>
    <w:rsid w:val="47051E53"/>
    <w:rsid w:val="47227860"/>
    <w:rsid w:val="473810D3"/>
    <w:rsid w:val="47775577"/>
    <w:rsid w:val="47895C4A"/>
    <w:rsid w:val="478975FD"/>
    <w:rsid w:val="47F0015D"/>
    <w:rsid w:val="480C0F07"/>
    <w:rsid w:val="48370630"/>
    <w:rsid w:val="4846373B"/>
    <w:rsid w:val="485553D9"/>
    <w:rsid w:val="4858001E"/>
    <w:rsid w:val="48861F15"/>
    <w:rsid w:val="489F3300"/>
    <w:rsid w:val="48BA396D"/>
    <w:rsid w:val="48EE7ABB"/>
    <w:rsid w:val="49271F6C"/>
    <w:rsid w:val="49AA1C33"/>
    <w:rsid w:val="49E82F2C"/>
    <w:rsid w:val="4A2F0080"/>
    <w:rsid w:val="4A555C81"/>
    <w:rsid w:val="4A62606A"/>
    <w:rsid w:val="4AAA548E"/>
    <w:rsid w:val="4B5E69E4"/>
    <w:rsid w:val="4C001782"/>
    <w:rsid w:val="4C1F5568"/>
    <w:rsid w:val="4C267FE8"/>
    <w:rsid w:val="4C2D08FA"/>
    <w:rsid w:val="4C9C7A13"/>
    <w:rsid w:val="4D445EFB"/>
    <w:rsid w:val="4DA25343"/>
    <w:rsid w:val="4DD423EE"/>
    <w:rsid w:val="4DDF63F1"/>
    <w:rsid w:val="4DF571F5"/>
    <w:rsid w:val="4E1C4782"/>
    <w:rsid w:val="4E37780E"/>
    <w:rsid w:val="4EE2777A"/>
    <w:rsid w:val="4EED69C4"/>
    <w:rsid w:val="4EF61477"/>
    <w:rsid w:val="4F1634D1"/>
    <w:rsid w:val="4F6C798B"/>
    <w:rsid w:val="4FBB5F7F"/>
    <w:rsid w:val="4FFA1812"/>
    <w:rsid w:val="50027C2E"/>
    <w:rsid w:val="50036960"/>
    <w:rsid w:val="502D4CFE"/>
    <w:rsid w:val="503264DF"/>
    <w:rsid w:val="51384D7E"/>
    <w:rsid w:val="51AC2BEA"/>
    <w:rsid w:val="51B371B4"/>
    <w:rsid w:val="51CB6BEB"/>
    <w:rsid w:val="51E7154B"/>
    <w:rsid w:val="51FD46D9"/>
    <w:rsid w:val="52336B0D"/>
    <w:rsid w:val="526B3F2A"/>
    <w:rsid w:val="52C11D9C"/>
    <w:rsid w:val="52DB5CE7"/>
    <w:rsid w:val="532619ED"/>
    <w:rsid w:val="536F483D"/>
    <w:rsid w:val="537A6CD3"/>
    <w:rsid w:val="53C02053"/>
    <w:rsid w:val="53F75A74"/>
    <w:rsid w:val="54595B0E"/>
    <w:rsid w:val="545F29FD"/>
    <w:rsid w:val="54676C88"/>
    <w:rsid w:val="54ED6E78"/>
    <w:rsid w:val="554F18E1"/>
    <w:rsid w:val="55570796"/>
    <w:rsid w:val="558F2D71"/>
    <w:rsid w:val="55964D15"/>
    <w:rsid w:val="55983288"/>
    <w:rsid w:val="55C61DE7"/>
    <w:rsid w:val="564B654C"/>
    <w:rsid w:val="565005FD"/>
    <w:rsid w:val="565D1884"/>
    <w:rsid w:val="56B52866"/>
    <w:rsid w:val="577D2735"/>
    <w:rsid w:val="57934EFF"/>
    <w:rsid w:val="57D12A81"/>
    <w:rsid w:val="57E176FE"/>
    <w:rsid w:val="58093C26"/>
    <w:rsid w:val="583226F7"/>
    <w:rsid w:val="586477A0"/>
    <w:rsid w:val="586D7F1B"/>
    <w:rsid w:val="587426BC"/>
    <w:rsid w:val="589E02DB"/>
    <w:rsid w:val="59CD7278"/>
    <w:rsid w:val="59EE791A"/>
    <w:rsid w:val="59F2790A"/>
    <w:rsid w:val="59F91E1B"/>
    <w:rsid w:val="5A14373D"/>
    <w:rsid w:val="5A250E62"/>
    <w:rsid w:val="5A2A4BAD"/>
    <w:rsid w:val="5A405C9C"/>
    <w:rsid w:val="5A783688"/>
    <w:rsid w:val="5A8E07B6"/>
    <w:rsid w:val="5AA92184"/>
    <w:rsid w:val="5AB3021C"/>
    <w:rsid w:val="5ACA4F93"/>
    <w:rsid w:val="5B13515F"/>
    <w:rsid w:val="5B3C193C"/>
    <w:rsid w:val="5BC40FD3"/>
    <w:rsid w:val="5BCB50BF"/>
    <w:rsid w:val="5BD4695F"/>
    <w:rsid w:val="5BDE576D"/>
    <w:rsid w:val="5BEB6907"/>
    <w:rsid w:val="5C046B07"/>
    <w:rsid w:val="5C3C0916"/>
    <w:rsid w:val="5C3D0277"/>
    <w:rsid w:val="5C446BD1"/>
    <w:rsid w:val="5C547170"/>
    <w:rsid w:val="5C5F753C"/>
    <w:rsid w:val="5C6A0BA6"/>
    <w:rsid w:val="5CD3696F"/>
    <w:rsid w:val="5CF214D0"/>
    <w:rsid w:val="5DF032A8"/>
    <w:rsid w:val="5E260208"/>
    <w:rsid w:val="5E337894"/>
    <w:rsid w:val="5EA96E73"/>
    <w:rsid w:val="5EFF7ED4"/>
    <w:rsid w:val="5F392B16"/>
    <w:rsid w:val="5F440C5D"/>
    <w:rsid w:val="5F6661A5"/>
    <w:rsid w:val="5F894E6F"/>
    <w:rsid w:val="5FC5157D"/>
    <w:rsid w:val="60263B97"/>
    <w:rsid w:val="60273360"/>
    <w:rsid w:val="603C295B"/>
    <w:rsid w:val="604715FA"/>
    <w:rsid w:val="60702B51"/>
    <w:rsid w:val="607517FD"/>
    <w:rsid w:val="6077269C"/>
    <w:rsid w:val="60C2600E"/>
    <w:rsid w:val="60FF240D"/>
    <w:rsid w:val="611C4D88"/>
    <w:rsid w:val="617839D4"/>
    <w:rsid w:val="62157A0E"/>
    <w:rsid w:val="625D2EFB"/>
    <w:rsid w:val="62746033"/>
    <w:rsid w:val="62BB4700"/>
    <w:rsid w:val="62DA2E07"/>
    <w:rsid w:val="62EF0451"/>
    <w:rsid w:val="63714C35"/>
    <w:rsid w:val="6374344C"/>
    <w:rsid w:val="638D06EF"/>
    <w:rsid w:val="63D66253"/>
    <w:rsid w:val="63DF02D4"/>
    <w:rsid w:val="640D40BD"/>
    <w:rsid w:val="64504D2E"/>
    <w:rsid w:val="6466071E"/>
    <w:rsid w:val="64B7333A"/>
    <w:rsid w:val="65554CF2"/>
    <w:rsid w:val="657562AE"/>
    <w:rsid w:val="65FF1B98"/>
    <w:rsid w:val="6609788A"/>
    <w:rsid w:val="666B40A1"/>
    <w:rsid w:val="66CC0FE3"/>
    <w:rsid w:val="66D60EF7"/>
    <w:rsid w:val="670A6DC5"/>
    <w:rsid w:val="673A2BF4"/>
    <w:rsid w:val="67600364"/>
    <w:rsid w:val="67DE7288"/>
    <w:rsid w:val="67EF0947"/>
    <w:rsid w:val="68091DC3"/>
    <w:rsid w:val="680D79CD"/>
    <w:rsid w:val="682027C3"/>
    <w:rsid w:val="685F09D4"/>
    <w:rsid w:val="686D5EAE"/>
    <w:rsid w:val="6870042D"/>
    <w:rsid w:val="68C648A5"/>
    <w:rsid w:val="68CC3BA9"/>
    <w:rsid w:val="68E1689C"/>
    <w:rsid w:val="69161332"/>
    <w:rsid w:val="6924258F"/>
    <w:rsid w:val="692672D9"/>
    <w:rsid w:val="693115D2"/>
    <w:rsid w:val="69424C47"/>
    <w:rsid w:val="694330B3"/>
    <w:rsid w:val="6987098D"/>
    <w:rsid w:val="6A054D51"/>
    <w:rsid w:val="6A1D15A7"/>
    <w:rsid w:val="6A7556BF"/>
    <w:rsid w:val="6AF24DD7"/>
    <w:rsid w:val="6B2018FE"/>
    <w:rsid w:val="6B2313EE"/>
    <w:rsid w:val="6B8579B3"/>
    <w:rsid w:val="6B9548AB"/>
    <w:rsid w:val="6B981494"/>
    <w:rsid w:val="6BC93D43"/>
    <w:rsid w:val="6C4621C1"/>
    <w:rsid w:val="6C903958"/>
    <w:rsid w:val="6D27178D"/>
    <w:rsid w:val="6D716CE5"/>
    <w:rsid w:val="6DC9002B"/>
    <w:rsid w:val="6DD50B3B"/>
    <w:rsid w:val="6E311D5A"/>
    <w:rsid w:val="6E867CCA"/>
    <w:rsid w:val="6EBD1212"/>
    <w:rsid w:val="6EF028EE"/>
    <w:rsid w:val="6EFC51C3"/>
    <w:rsid w:val="6F023A14"/>
    <w:rsid w:val="6F543A6D"/>
    <w:rsid w:val="6FC36CDE"/>
    <w:rsid w:val="703B3B39"/>
    <w:rsid w:val="713049C9"/>
    <w:rsid w:val="71341C5F"/>
    <w:rsid w:val="7162163C"/>
    <w:rsid w:val="7186624C"/>
    <w:rsid w:val="718D2A91"/>
    <w:rsid w:val="71E94AB7"/>
    <w:rsid w:val="72116AC3"/>
    <w:rsid w:val="723839D1"/>
    <w:rsid w:val="725F0D85"/>
    <w:rsid w:val="72C1118B"/>
    <w:rsid w:val="72D440FE"/>
    <w:rsid w:val="73553808"/>
    <w:rsid w:val="73917D98"/>
    <w:rsid w:val="739775B3"/>
    <w:rsid w:val="741D4C38"/>
    <w:rsid w:val="7434246D"/>
    <w:rsid w:val="74B463CC"/>
    <w:rsid w:val="74C8271D"/>
    <w:rsid w:val="750C4CA1"/>
    <w:rsid w:val="75457419"/>
    <w:rsid w:val="75660855"/>
    <w:rsid w:val="757C18C0"/>
    <w:rsid w:val="758D3219"/>
    <w:rsid w:val="7597611C"/>
    <w:rsid w:val="75B41174"/>
    <w:rsid w:val="75BC6D18"/>
    <w:rsid w:val="75C82A35"/>
    <w:rsid w:val="76697AE9"/>
    <w:rsid w:val="767B23FD"/>
    <w:rsid w:val="76816FC9"/>
    <w:rsid w:val="769B7323"/>
    <w:rsid w:val="76B35F8B"/>
    <w:rsid w:val="76E01F9E"/>
    <w:rsid w:val="770025E3"/>
    <w:rsid w:val="77E045F3"/>
    <w:rsid w:val="77FD0061"/>
    <w:rsid w:val="78236039"/>
    <w:rsid w:val="79817A0B"/>
    <w:rsid w:val="79D26296"/>
    <w:rsid w:val="79DF3028"/>
    <w:rsid w:val="79E32381"/>
    <w:rsid w:val="7A2D5474"/>
    <w:rsid w:val="7A312500"/>
    <w:rsid w:val="7A7A3003"/>
    <w:rsid w:val="7A7E4760"/>
    <w:rsid w:val="7AC27DA7"/>
    <w:rsid w:val="7AF7614B"/>
    <w:rsid w:val="7B035D94"/>
    <w:rsid w:val="7B2E163A"/>
    <w:rsid w:val="7BA774D1"/>
    <w:rsid w:val="7BB615C0"/>
    <w:rsid w:val="7C08168C"/>
    <w:rsid w:val="7C4D28B2"/>
    <w:rsid w:val="7D0D29A6"/>
    <w:rsid w:val="7D174F4E"/>
    <w:rsid w:val="7D515947"/>
    <w:rsid w:val="7E0E535E"/>
    <w:rsid w:val="7E134DA4"/>
    <w:rsid w:val="7E290854"/>
    <w:rsid w:val="7E664936"/>
    <w:rsid w:val="7EA7519B"/>
    <w:rsid w:val="7EAB113D"/>
    <w:rsid w:val="7EF03E1F"/>
    <w:rsid w:val="7F272E03"/>
    <w:rsid w:val="7F327747"/>
    <w:rsid w:val="7F7A4380"/>
    <w:rsid w:val="7FB94FEA"/>
    <w:rsid w:val="7FBA6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420"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link w:val="35"/>
    <w:qFormat/>
    <w:uiPriority w:val="0"/>
    <w:pPr>
      <w:keepNext/>
      <w:keepLines/>
      <w:spacing w:after="50" w:afterLines="50"/>
      <w:ind w:firstLine="0" w:firstLineChars="0"/>
      <w:jc w:val="center"/>
      <w:outlineLvl w:val="0"/>
    </w:pPr>
    <w:rPr>
      <w:rFonts w:ascii="黑体" w:hAnsi="黑体" w:eastAsia="黑体"/>
      <w:kern w:val="44"/>
      <w:szCs w:val="28"/>
    </w:rPr>
  </w:style>
  <w:style w:type="paragraph" w:styleId="3">
    <w:name w:val="heading 2"/>
    <w:basedOn w:val="1"/>
    <w:next w:val="1"/>
    <w:link w:val="26"/>
    <w:unhideWhenUsed/>
    <w:qFormat/>
    <w:uiPriority w:val="0"/>
    <w:pPr>
      <w:keepNext/>
      <w:keepLines/>
      <w:outlineLvl w:val="1"/>
    </w:pPr>
    <w:rPr>
      <w:rFonts w:eastAsia="黑体"/>
      <w:szCs w:val="32"/>
    </w:rPr>
  </w:style>
  <w:style w:type="paragraph" w:styleId="4">
    <w:name w:val="heading 3"/>
    <w:basedOn w:val="1"/>
    <w:next w:val="1"/>
    <w:link w:val="34"/>
    <w:unhideWhenUsed/>
    <w:qFormat/>
    <w:uiPriority w:val="0"/>
    <w:pPr>
      <w:keepNext/>
      <w:keepLines/>
      <w:outlineLvl w:val="2"/>
    </w:pPr>
    <w:rPr>
      <w:rFonts w:eastAsia="楷体_GB2312"/>
      <w:szCs w:val="28"/>
    </w:rPr>
  </w:style>
  <w:style w:type="paragraph" w:styleId="5">
    <w:name w:val="heading 4"/>
    <w:basedOn w:val="1"/>
    <w:next w:val="1"/>
    <w:unhideWhenUsed/>
    <w:qFormat/>
    <w:uiPriority w:val="0"/>
    <w:pPr>
      <w:keepNext/>
      <w:keepLines/>
      <w:outlineLvl w:val="3"/>
    </w:pPr>
    <w:rPr>
      <w:b/>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rPr>
      <w:rFonts w:eastAsia="宋体" w:cs="Times New Roman"/>
    </w:rPr>
  </w:style>
  <w:style w:type="paragraph" w:styleId="7">
    <w:name w:val="toa heading"/>
    <w:basedOn w:val="1"/>
    <w:next w:val="1"/>
    <w:qFormat/>
    <w:uiPriority w:val="0"/>
    <w:pPr>
      <w:spacing w:before="120"/>
    </w:pPr>
    <w:rPr>
      <w:rFonts w:ascii="Calibri Light" w:hAnsi="Calibri Light" w:eastAsia="宋体" w:cs="Times New Roman"/>
      <w:sz w:val="24"/>
    </w:rPr>
  </w:style>
  <w:style w:type="paragraph" w:styleId="8">
    <w:name w:val="annotation text"/>
    <w:basedOn w:val="1"/>
    <w:qFormat/>
    <w:uiPriority w:val="0"/>
    <w:pPr>
      <w:jc w:val="left"/>
    </w:pPr>
  </w:style>
  <w:style w:type="paragraph" w:styleId="9">
    <w:name w:val="Body Text"/>
    <w:basedOn w:val="1"/>
    <w:next w:val="1"/>
    <w:link w:val="38"/>
    <w:qFormat/>
    <w:uiPriority w:val="0"/>
    <w:pPr>
      <w:adjustRightInd/>
      <w:snapToGrid/>
      <w:spacing w:after="120" w:line="240" w:lineRule="auto"/>
      <w:ind w:firstLine="0" w:firstLineChars="0"/>
    </w:pPr>
    <w:rPr>
      <w:rFonts w:hint="eastAsia" w:ascii="Calibri" w:hAnsi="Calibri" w:eastAsia="宋体" w:cs="仿宋_GB2312"/>
      <w:szCs w:val="32"/>
    </w:rPr>
  </w:style>
  <w:style w:type="paragraph" w:styleId="10">
    <w:name w:val="toc 3"/>
    <w:basedOn w:val="1"/>
    <w:next w:val="1"/>
    <w:qFormat/>
    <w:uiPriority w:val="39"/>
    <w:pPr>
      <w:ind w:left="840" w:leftChars="400"/>
    </w:pPr>
  </w:style>
  <w:style w:type="paragraph" w:styleId="11">
    <w:name w:val="footer"/>
    <w:basedOn w:val="1"/>
    <w:qFormat/>
    <w:uiPriority w:val="0"/>
    <w:pPr>
      <w:tabs>
        <w:tab w:val="center" w:pos="4153"/>
        <w:tab w:val="right" w:pos="8306"/>
      </w:tabs>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3">
    <w:name w:val="toc 1"/>
    <w:basedOn w:val="1"/>
    <w:next w:val="1"/>
    <w:qFormat/>
    <w:uiPriority w:val="39"/>
  </w:style>
  <w:style w:type="paragraph" w:styleId="14">
    <w:name w:val="footnote text"/>
    <w:basedOn w:val="1"/>
    <w:qFormat/>
    <w:uiPriority w:val="0"/>
    <w:pPr>
      <w:jc w:val="left"/>
    </w:pPr>
    <w:rPr>
      <w:sz w:val="18"/>
    </w:rPr>
  </w:style>
  <w:style w:type="paragraph" w:styleId="15">
    <w:name w:val="toc 2"/>
    <w:basedOn w:val="1"/>
    <w:next w:val="1"/>
    <w:qFormat/>
    <w:uiPriority w:val="39"/>
    <w:pPr>
      <w:ind w:left="420" w:leftChars="200"/>
    </w:pPr>
  </w:style>
  <w:style w:type="paragraph" w:styleId="16">
    <w:name w:val="Normal (Web)"/>
    <w:basedOn w:val="1"/>
    <w:qFormat/>
    <w:uiPriority w:val="0"/>
    <w:pPr>
      <w:spacing w:beforeAutospacing="1" w:afterAutospacing="1"/>
      <w:jc w:val="left"/>
    </w:pPr>
    <w:rPr>
      <w:rFonts w:cs="Times New Roman"/>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Emphasis"/>
    <w:basedOn w:val="19"/>
    <w:qFormat/>
    <w:uiPriority w:val="0"/>
    <w:rPr>
      <w:i/>
    </w:rPr>
  </w:style>
  <w:style w:type="character" w:styleId="22">
    <w:name w:val="Hyperlink"/>
    <w:basedOn w:val="19"/>
    <w:unhideWhenUsed/>
    <w:qFormat/>
    <w:uiPriority w:val="99"/>
    <w:rPr>
      <w:color w:val="0563C1" w:themeColor="hyperlink"/>
      <w:u w:val="single"/>
      <w14:textFill>
        <w14:solidFill>
          <w14:schemeClr w14:val="hlink"/>
        </w14:solidFill>
      </w14:textFill>
    </w:rPr>
  </w:style>
  <w:style w:type="character" w:styleId="23">
    <w:name w:val="footnote reference"/>
    <w:basedOn w:val="19"/>
    <w:qFormat/>
    <w:uiPriority w:val="0"/>
    <w:rPr>
      <w:vertAlign w:val="superscript"/>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6">
    <w:name w:val="标题 2 字符"/>
    <w:link w:val="3"/>
    <w:qFormat/>
    <w:uiPriority w:val="0"/>
    <w:rPr>
      <w:rFonts w:ascii="Times New Roman" w:hAnsi="Times New Roman" w:eastAsia="黑体"/>
      <w:sz w:val="32"/>
      <w:szCs w:val="32"/>
    </w:rPr>
  </w:style>
  <w:style w:type="paragraph" w:customStyle="1" w:styleId="27">
    <w:name w:val="Default"/>
    <w:basedOn w:val="1"/>
    <w:qFormat/>
    <w:uiPriority w:val="0"/>
    <w:rPr>
      <w:rFonts w:eastAsia="宋体" w:cs="Times New Roman"/>
      <w:kern w:val="0"/>
      <w:szCs w:val="21"/>
    </w:rPr>
  </w:style>
  <w:style w:type="paragraph" w:customStyle="1" w:styleId="28">
    <w:name w:val="p0"/>
    <w:basedOn w:val="1"/>
    <w:qFormat/>
    <w:uiPriority w:val="0"/>
    <w:pPr>
      <w:ind w:firstLine="482"/>
      <w:jc w:val="center"/>
    </w:pPr>
    <w:rPr>
      <w:rFonts w:eastAsia="宋体" w:cs="Times New Roman"/>
      <w:b/>
      <w:szCs w:val="21"/>
    </w:rPr>
  </w:style>
  <w:style w:type="character" w:customStyle="1" w:styleId="29">
    <w:name w:val="font21"/>
    <w:basedOn w:val="19"/>
    <w:qFormat/>
    <w:uiPriority w:val="0"/>
    <w:rPr>
      <w:rFonts w:hint="default" w:ascii="Times New Roman" w:hAnsi="Times New Roman" w:cs="Times New Roman"/>
      <w:color w:val="000000"/>
      <w:sz w:val="15"/>
      <w:szCs w:val="15"/>
      <w:u w:val="none"/>
    </w:rPr>
  </w:style>
  <w:style w:type="character" w:customStyle="1" w:styleId="30">
    <w:name w:val="font31"/>
    <w:basedOn w:val="19"/>
    <w:qFormat/>
    <w:uiPriority w:val="0"/>
    <w:rPr>
      <w:rFonts w:hint="eastAsia" w:ascii="宋体" w:hAnsi="宋体" w:eastAsia="宋体" w:cs="宋体"/>
      <w:color w:val="000000"/>
      <w:sz w:val="15"/>
      <w:szCs w:val="15"/>
      <w:u w:val="none"/>
    </w:rPr>
  </w:style>
  <w:style w:type="character" w:customStyle="1" w:styleId="31">
    <w:name w:val="font11"/>
    <w:basedOn w:val="19"/>
    <w:qFormat/>
    <w:uiPriority w:val="0"/>
    <w:rPr>
      <w:rFonts w:hint="eastAsia" w:ascii="仿宋" w:hAnsi="仿宋" w:eastAsia="仿宋" w:cs="仿宋"/>
      <w:color w:val="000000"/>
      <w:sz w:val="21"/>
      <w:szCs w:val="21"/>
      <w:u w:val="none"/>
    </w:rPr>
  </w:style>
  <w:style w:type="character" w:customStyle="1" w:styleId="32">
    <w:name w:val="font01"/>
    <w:basedOn w:val="19"/>
    <w:qFormat/>
    <w:uiPriority w:val="0"/>
    <w:rPr>
      <w:rFonts w:hint="default" w:ascii="Times New Roman" w:hAnsi="Times New Roman" w:cs="Times New Roman"/>
      <w:color w:val="000000"/>
      <w:sz w:val="20"/>
      <w:szCs w:val="20"/>
      <w:u w:val="none"/>
    </w:rPr>
  </w:style>
  <w:style w:type="character" w:customStyle="1" w:styleId="33">
    <w:name w:val="font41"/>
    <w:basedOn w:val="19"/>
    <w:qFormat/>
    <w:uiPriority w:val="0"/>
    <w:rPr>
      <w:rFonts w:hint="eastAsia" w:ascii="仿宋" w:hAnsi="仿宋" w:eastAsia="仿宋" w:cs="仿宋"/>
      <w:color w:val="000000"/>
      <w:sz w:val="22"/>
      <w:szCs w:val="22"/>
      <w:u w:val="none"/>
    </w:rPr>
  </w:style>
  <w:style w:type="character" w:customStyle="1" w:styleId="34">
    <w:name w:val="标题 3 字符"/>
    <w:link w:val="4"/>
    <w:qFormat/>
    <w:uiPriority w:val="0"/>
    <w:rPr>
      <w:rFonts w:ascii="Times New Roman" w:hAnsi="Times New Roman" w:eastAsia="楷体_GB2312"/>
      <w:szCs w:val="28"/>
    </w:rPr>
  </w:style>
  <w:style w:type="character" w:customStyle="1" w:styleId="35">
    <w:name w:val="标题 1 字符"/>
    <w:link w:val="2"/>
    <w:qFormat/>
    <w:uiPriority w:val="0"/>
    <w:rPr>
      <w:rFonts w:ascii="黑体" w:hAnsi="黑体" w:eastAsia="黑体"/>
      <w:kern w:val="44"/>
      <w:szCs w:val="28"/>
    </w:rPr>
  </w:style>
  <w:style w:type="character" w:customStyle="1" w:styleId="36">
    <w:name w:val="font61"/>
    <w:basedOn w:val="19"/>
    <w:qFormat/>
    <w:uiPriority w:val="0"/>
    <w:rPr>
      <w:rFonts w:hint="eastAsia" w:ascii="仿宋" w:hAnsi="仿宋" w:eastAsia="仿宋" w:cs="仿宋"/>
      <w:color w:val="000000"/>
      <w:sz w:val="22"/>
      <w:szCs w:val="22"/>
      <w:u w:val="none"/>
    </w:rPr>
  </w:style>
  <w:style w:type="paragraph" w:customStyle="1" w:styleId="37">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8">
    <w:name w:val="正文文本 字符"/>
    <w:basedOn w:val="19"/>
    <w:link w:val="9"/>
    <w:qFormat/>
    <w:uiPriority w:val="0"/>
    <w:rPr>
      <w:rFonts w:ascii="Calibri" w:hAnsi="Calibri" w:cs="仿宋_GB2312"/>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3361</Words>
  <Characters>19159</Characters>
  <Lines>159</Lines>
  <Paragraphs>44</Paragraphs>
  <TotalTime>396</TotalTime>
  <ScaleCrop>false</ScaleCrop>
  <LinksUpToDate>false</LinksUpToDate>
  <CharactersWithSpaces>22476</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2023-11-21T00:48:00Z</dcterms:created>
  <dc:creator>13718</dc:creator>
  <cp:lastModifiedBy>greatwall</cp:lastModifiedBy>
  <dcterms:modified xsi:type="dcterms:W3CDTF">2024-01-12T11:13:45Z</dcterms:modified>
  <dc:title>        </dc:title>
  <cp:revision>634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F7F997808BD54E4BAAB9C9A35A1A2E42_13</vt:lpwstr>
  </property>
</Properties>
</file>